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3B" w:rsidRDefault="00085A3C" w:rsidP="009B0E41">
      <w:pPr>
        <w:jc w:val="center"/>
        <w:rPr>
          <w:lang w:eastAsia="zh-HK"/>
        </w:rPr>
      </w:pPr>
      <w:r>
        <w:rPr>
          <w:rFonts w:hint="eastAsia"/>
          <w:lang w:eastAsia="zh-HK"/>
        </w:rPr>
        <w:t>Get Nice Holdings Limited</w:t>
      </w:r>
    </w:p>
    <w:p w:rsidR="00085A3C" w:rsidRDefault="00085A3C">
      <w:pPr>
        <w:rPr>
          <w:lang w:eastAsia="zh-HK"/>
        </w:rPr>
      </w:pPr>
    </w:p>
    <w:p w:rsidR="00085A3C" w:rsidRPr="009B0E41" w:rsidRDefault="00085A3C">
      <w:pPr>
        <w:rPr>
          <w:b/>
          <w:lang w:eastAsia="zh-HK"/>
        </w:rPr>
      </w:pPr>
      <w:r w:rsidRPr="009B0E41">
        <w:rPr>
          <w:rFonts w:hint="eastAsia"/>
          <w:b/>
          <w:lang w:eastAsia="zh-HK"/>
        </w:rPr>
        <w:t>About Us</w:t>
      </w:r>
    </w:p>
    <w:p w:rsidR="00CB13F3" w:rsidRDefault="00CB13F3" w:rsidP="00D81EA4">
      <w:pPr>
        <w:jc w:val="both"/>
        <w:rPr>
          <w:rFonts w:ascii="Calibri" w:hAnsi="Calibri"/>
          <w:lang w:eastAsia="zh-HK"/>
        </w:rPr>
      </w:pPr>
    </w:p>
    <w:p w:rsidR="00CB13F3" w:rsidRDefault="00CB13F3" w:rsidP="00D81EA4">
      <w:pPr>
        <w:jc w:val="both"/>
        <w:rPr>
          <w:rFonts w:ascii="Calibri" w:hAnsi="Calibri"/>
          <w:lang w:eastAsia="zh-HK"/>
        </w:rPr>
      </w:pPr>
      <w:r>
        <w:rPr>
          <w:rFonts w:ascii="Calibri" w:hAnsi="Calibri" w:hint="eastAsia"/>
          <w:lang w:eastAsia="zh-HK"/>
        </w:rPr>
        <w:t>Corporate Profile</w:t>
      </w:r>
    </w:p>
    <w:p w:rsidR="00085A3C" w:rsidRPr="00D81EA4" w:rsidRDefault="00085A3C" w:rsidP="00D81EA4">
      <w:pPr>
        <w:jc w:val="both"/>
        <w:rPr>
          <w:rFonts w:ascii="Calibri" w:hAnsi="Calibri"/>
          <w:lang w:eastAsia="zh-HK"/>
        </w:rPr>
      </w:pPr>
      <w:r w:rsidRPr="00D81EA4">
        <w:rPr>
          <w:rFonts w:ascii="Calibri" w:hAnsi="Calibri"/>
          <w:lang w:eastAsia="zh-HK"/>
        </w:rPr>
        <w:t xml:space="preserve">Get Nice Holdings Limited (“Get Nice Holdings”, Stock </w:t>
      </w:r>
      <w:r w:rsidR="00CB13F3">
        <w:rPr>
          <w:rFonts w:ascii="Calibri" w:hAnsi="Calibri" w:hint="eastAsia"/>
          <w:lang w:eastAsia="zh-HK"/>
        </w:rPr>
        <w:t>c</w:t>
      </w:r>
      <w:r w:rsidRPr="00D81EA4">
        <w:rPr>
          <w:rFonts w:ascii="Calibri" w:hAnsi="Calibri"/>
          <w:lang w:eastAsia="zh-HK"/>
        </w:rPr>
        <w:t xml:space="preserve">ode: 64) </w:t>
      </w:r>
      <w:r w:rsidRPr="00D81EA4">
        <w:rPr>
          <w:rFonts w:ascii="Calibri" w:hAnsi="Calibri"/>
        </w:rPr>
        <w:t xml:space="preserve">has been listed on the </w:t>
      </w:r>
      <w:r w:rsidR="00CB13F3">
        <w:rPr>
          <w:rFonts w:ascii="Calibri" w:hAnsi="Calibri" w:hint="eastAsia"/>
          <w:lang w:eastAsia="zh-HK"/>
        </w:rPr>
        <w:t xml:space="preserve">Main </w:t>
      </w:r>
      <w:r w:rsidR="00693EBD">
        <w:rPr>
          <w:rFonts w:ascii="Calibri" w:hAnsi="Calibri" w:hint="eastAsia"/>
          <w:lang w:eastAsia="zh-HK"/>
        </w:rPr>
        <w:t>B</w:t>
      </w:r>
      <w:r w:rsidR="00CB13F3">
        <w:rPr>
          <w:rFonts w:ascii="Calibri" w:hAnsi="Calibri" w:hint="eastAsia"/>
          <w:lang w:eastAsia="zh-HK"/>
        </w:rPr>
        <w:t xml:space="preserve">oard </w:t>
      </w:r>
      <w:r w:rsidR="00FD048C">
        <w:rPr>
          <w:rFonts w:ascii="Calibri" w:hAnsi="Calibri"/>
          <w:lang w:eastAsia="zh-HK"/>
        </w:rPr>
        <w:t xml:space="preserve">of </w:t>
      </w:r>
      <w:proofErr w:type="gramStart"/>
      <w:r w:rsidR="00781AEC">
        <w:rPr>
          <w:rFonts w:ascii="Calibri" w:hAnsi="Calibri" w:hint="eastAsia"/>
        </w:rPr>
        <w:t>T</w:t>
      </w:r>
      <w:r w:rsidR="00FD048C">
        <w:rPr>
          <w:rFonts w:ascii="Calibri" w:hAnsi="Calibri"/>
          <w:lang w:eastAsia="zh-HK"/>
        </w:rPr>
        <w:t>he</w:t>
      </w:r>
      <w:proofErr w:type="gramEnd"/>
      <w:r w:rsidR="00CB13F3">
        <w:rPr>
          <w:rFonts w:ascii="Calibri" w:hAnsi="Calibri" w:hint="eastAsia"/>
          <w:lang w:eastAsia="zh-HK"/>
        </w:rPr>
        <w:t xml:space="preserve"> </w:t>
      </w:r>
      <w:r w:rsidR="008E02D6">
        <w:rPr>
          <w:rFonts w:ascii="Calibri" w:hAnsi="Calibri" w:hint="eastAsia"/>
          <w:lang w:eastAsia="zh-HK"/>
        </w:rPr>
        <w:t>Stock</w:t>
      </w:r>
      <w:r w:rsidRPr="00D81EA4">
        <w:rPr>
          <w:rFonts w:ascii="Calibri" w:hAnsi="Calibri"/>
        </w:rPr>
        <w:t xml:space="preserve"> Exchange</w:t>
      </w:r>
      <w:r w:rsidR="00FD048C">
        <w:rPr>
          <w:rFonts w:ascii="Calibri" w:hAnsi="Calibri" w:hint="eastAsia"/>
          <w:lang w:eastAsia="zh-HK"/>
        </w:rPr>
        <w:t xml:space="preserve"> of Hong Kong Limited (</w:t>
      </w:r>
      <w:r w:rsidR="00FD048C">
        <w:rPr>
          <w:rFonts w:ascii="Calibri" w:hAnsi="Calibri"/>
          <w:lang w:eastAsia="zh-HK"/>
        </w:rPr>
        <w:t>“</w:t>
      </w:r>
      <w:proofErr w:type="spellStart"/>
      <w:r w:rsidR="00FD048C">
        <w:rPr>
          <w:rFonts w:ascii="Calibri" w:hAnsi="Calibri" w:hint="eastAsia"/>
          <w:lang w:eastAsia="zh-HK"/>
        </w:rPr>
        <w:t>HKEx</w:t>
      </w:r>
      <w:proofErr w:type="spellEnd"/>
      <w:r w:rsidR="00FD048C">
        <w:rPr>
          <w:rFonts w:ascii="Calibri" w:hAnsi="Calibri"/>
          <w:lang w:eastAsia="zh-HK"/>
        </w:rPr>
        <w:t>”</w:t>
      </w:r>
      <w:r w:rsidR="00FD048C">
        <w:rPr>
          <w:rFonts w:ascii="Calibri" w:hAnsi="Calibri" w:hint="eastAsia"/>
          <w:lang w:eastAsia="zh-HK"/>
        </w:rPr>
        <w:t>)</w:t>
      </w:r>
      <w:r w:rsidRPr="00D81EA4">
        <w:rPr>
          <w:rFonts w:ascii="Calibri" w:hAnsi="Calibri"/>
        </w:rPr>
        <w:t xml:space="preserve"> since</w:t>
      </w:r>
      <w:r w:rsidRPr="00D81EA4">
        <w:rPr>
          <w:rFonts w:ascii="Calibri" w:hAnsi="Calibri"/>
          <w:lang w:eastAsia="zh-HK"/>
        </w:rPr>
        <w:t xml:space="preserve"> June</w:t>
      </w:r>
      <w:r w:rsidRPr="00D81EA4">
        <w:rPr>
          <w:rFonts w:ascii="Calibri" w:hAnsi="Calibri"/>
        </w:rPr>
        <w:t xml:space="preserve"> 200</w:t>
      </w:r>
      <w:r w:rsidRPr="00D81EA4">
        <w:rPr>
          <w:rFonts w:ascii="Calibri" w:hAnsi="Calibri"/>
          <w:lang w:eastAsia="zh-HK"/>
        </w:rPr>
        <w:t>2</w:t>
      </w:r>
      <w:r w:rsidRPr="00D81EA4">
        <w:rPr>
          <w:rFonts w:ascii="Calibri" w:hAnsi="Calibri"/>
        </w:rPr>
        <w:t xml:space="preserve">. </w:t>
      </w:r>
      <w:r w:rsidRPr="00D81EA4">
        <w:rPr>
          <w:rFonts w:ascii="Calibri" w:hAnsi="Calibri"/>
          <w:lang w:eastAsia="zh-HK"/>
        </w:rPr>
        <w:t>We</w:t>
      </w:r>
      <w:r w:rsidR="00FD048C">
        <w:rPr>
          <w:rFonts w:ascii="Calibri" w:hAnsi="Calibri" w:hint="eastAsia"/>
          <w:lang w:eastAsia="zh-HK"/>
        </w:rPr>
        <w:t xml:space="preserve"> are</w:t>
      </w:r>
      <w:r w:rsidRPr="00D81EA4">
        <w:rPr>
          <w:rFonts w:ascii="Calibri" w:hAnsi="Calibri"/>
        </w:rPr>
        <w:t xml:space="preserve"> </w:t>
      </w:r>
      <w:r w:rsidR="001B464D">
        <w:rPr>
          <w:rFonts w:ascii="Calibri" w:hAnsi="Calibri" w:hint="eastAsia"/>
          <w:lang w:eastAsia="zh-HK"/>
        </w:rPr>
        <w:t xml:space="preserve">mainly engaged in </w:t>
      </w:r>
      <w:r w:rsidR="00DE1209">
        <w:rPr>
          <w:rFonts w:ascii="Calibri" w:hAnsi="Calibri" w:hint="eastAsia"/>
          <w:lang w:eastAsia="zh-HK"/>
        </w:rPr>
        <w:t>money lending, regulated activities under</w:t>
      </w:r>
      <w:r w:rsidR="00FD048C">
        <w:rPr>
          <w:rFonts w:ascii="Calibri" w:hAnsi="Calibri" w:hint="eastAsia"/>
          <w:lang w:eastAsia="zh-HK"/>
        </w:rPr>
        <w:t xml:space="preserve"> Securities &amp; Futures Ordinance</w:t>
      </w:r>
      <w:r w:rsidR="00BA3592">
        <w:rPr>
          <w:rFonts w:ascii="Calibri" w:hAnsi="Calibri" w:hint="eastAsia"/>
          <w:lang w:eastAsia="zh-HK"/>
        </w:rPr>
        <w:t xml:space="preserve"> (</w:t>
      </w:r>
      <w:r w:rsidR="00BA3592">
        <w:rPr>
          <w:rFonts w:ascii="Calibri" w:hAnsi="Calibri"/>
          <w:lang w:eastAsia="zh-HK"/>
        </w:rPr>
        <w:t>“</w:t>
      </w:r>
      <w:r w:rsidR="00BA3592">
        <w:rPr>
          <w:rFonts w:ascii="Calibri" w:hAnsi="Calibri" w:hint="eastAsia"/>
          <w:lang w:eastAsia="zh-HK"/>
        </w:rPr>
        <w:t>SFO</w:t>
      </w:r>
      <w:r w:rsidR="00BA3592">
        <w:rPr>
          <w:rFonts w:ascii="Calibri" w:hAnsi="Calibri"/>
          <w:lang w:eastAsia="zh-HK"/>
        </w:rPr>
        <w:t>”</w:t>
      </w:r>
      <w:r w:rsidR="00BA3592">
        <w:rPr>
          <w:rFonts w:ascii="Calibri" w:hAnsi="Calibri" w:hint="eastAsia"/>
          <w:lang w:eastAsia="zh-HK"/>
        </w:rPr>
        <w:t>)</w:t>
      </w:r>
      <w:r w:rsidR="001B464D">
        <w:rPr>
          <w:rFonts w:ascii="Calibri" w:hAnsi="Calibri" w:hint="eastAsia"/>
          <w:lang w:eastAsia="zh-HK"/>
        </w:rPr>
        <w:t>, properties investment &amp; development</w:t>
      </w:r>
      <w:r w:rsidR="00D65718">
        <w:rPr>
          <w:rFonts w:ascii="Calibri" w:hAnsi="Calibri" w:hint="eastAsia"/>
          <w:lang w:eastAsia="zh-HK"/>
        </w:rPr>
        <w:t xml:space="preserve"> and real estate broking service</w:t>
      </w:r>
      <w:r w:rsidR="001B464D">
        <w:rPr>
          <w:rFonts w:ascii="Calibri" w:hAnsi="Calibri" w:hint="eastAsia"/>
          <w:lang w:eastAsia="zh-HK"/>
        </w:rPr>
        <w:t xml:space="preserve">. In </w:t>
      </w:r>
      <w:r w:rsidR="00403309">
        <w:rPr>
          <w:rFonts w:ascii="Calibri" w:hAnsi="Calibri" w:hint="eastAsia"/>
          <w:lang w:eastAsia="zh-HK"/>
        </w:rPr>
        <w:t>April</w:t>
      </w:r>
      <w:r w:rsidR="00D65718">
        <w:rPr>
          <w:rFonts w:ascii="Calibri" w:hAnsi="Calibri" w:hint="eastAsia"/>
          <w:lang w:eastAsia="zh-HK"/>
        </w:rPr>
        <w:t xml:space="preserve"> </w:t>
      </w:r>
      <w:r w:rsidR="001B464D">
        <w:rPr>
          <w:rFonts w:ascii="Calibri" w:hAnsi="Calibri" w:hint="eastAsia"/>
          <w:lang w:eastAsia="zh-HK"/>
        </w:rPr>
        <w:t>201</w:t>
      </w:r>
      <w:r w:rsidR="00403309">
        <w:rPr>
          <w:rFonts w:ascii="Calibri" w:hAnsi="Calibri" w:hint="eastAsia"/>
          <w:lang w:eastAsia="zh-HK"/>
        </w:rPr>
        <w:t>6</w:t>
      </w:r>
      <w:r w:rsidR="001B464D">
        <w:rPr>
          <w:rFonts w:ascii="Calibri" w:hAnsi="Calibri" w:hint="eastAsia"/>
          <w:lang w:eastAsia="zh-HK"/>
        </w:rPr>
        <w:t>, we</w:t>
      </w:r>
      <w:r w:rsidR="00D65718">
        <w:rPr>
          <w:rFonts w:ascii="Calibri" w:hAnsi="Calibri" w:hint="eastAsia"/>
          <w:lang w:eastAsia="zh-HK"/>
        </w:rPr>
        <w:t xml:space="preserve"> </w:t>
      </w:r>
      <w:r w:rsidR="00D65718">
        <w:rPr>
          <w:rFonts w:ascii="Calibri" w:hAnsi="Calibri"/>
          <w:lang w:eastAsia="zh-HK"/>
        </w:rPr>
        <w:t>successfully</w:t>
      </w:r>
      <w:r w:rsidR="001B464D">
        <w:rPr>
          <w:rFonts w:ascii="Calibri" w:hAnsi="Calibri" w:hint="eastAsia"/>
          <w:lang w:eastAsia="zh-HK"/>
        </w:rPr>
        <w:t xml:space="preserve"> spin-off Get Nice Financ</w:t>
      </w:r>
      <w:r w:rsidR="00FD048C">
        <w:rPr>
          <w:rFonts w:ascii="Calibri" w:hAnsi="Calibri" w:hint="eastAsia"/>
          <w:lang w:eastAsia="zh-HK"/>
        </w:rPr>
        <w:t>ial</w:t>
      </w:r>
      <w:r w:rsidR="001B464D">
        <w:rPr>
          <w:rFonts w:ascii="Calibri" w:hAnsi="Calibri" w:hint="eastAsia"/>
          <w:lang w:eastAsia="zh-HK"/>
        </w:rPr>
        <w:t xml:space="preserve"> Group Limited</w:t>
      </w:r>
      <w:r w:rsidR="00893BDC">
        <w:rPr>
          <w:rFonts w:ascii="Calibri" w:hAnsi="Calibri" w:hint="eastAsia"/>
          <w:lang w:eastAsia="zh-HK"/>
        </w:rPr>
        <w:t xml:space="preserve"> (</w:t>
      </w:r>
      <w:r w:rsidR="00893BDC" w:rsidRPr="00D81EA4">
        <w:rPr>
          <w:rFonts w:ascii="Calibri" w:hAnsi="Calibri"/>
          <w:lang w:eastAsia="zh-HK"/>
        </w:rPr>
        <w:t>“G</w:t>
      </w:r>
      <w:r w:rsidR="00893BDC">
        <w:rPr>
          <w:rFonts w:ascii="Calibri" w:hAnsi="Calibri" w:hint="eastAsia"/>
          <w:lang w:eastAsia="zh-HK"/>
        </w:rPr>
        <w:t>NFG</w:t>
      </w:r>
      <w:r w:rsidR="00893BDC" w:rsidRPr="00D81EA4">
        <w:rPr>
          <w:rFonts w:ascii="Calibri" w:hAnsi="Calibri"/>
          <w:lang w:eastAsia="zh-HK"/>
        </w:rPr>
        <w:t xml:space="preserve">”, Stock </w:t>
      </w:r>
      <w:r w:rsidR="00893BDC">
        <w:rPr>
          <w:rFonts w:ascii="Calibri" w:hAnsi="Calibri" w:hint="eastAsia"/>
          <w:lang w:eastAsia="zh-HK"/>
        </w:rPr>
        <w:t>c</w:t>
      </w:r>
      <w:r w:rsidR="00893BDC" w:rsidRPr="00D81EA4">
        <w:rPr>
          <w:rFonts w:ascii="Calibri" w:hAnsi="Calibri"/>
          <w:lang w:eastAsia="zh-HK"/>
        </w:rPr>
        <w:t xml:space="preserve">ode: </w:t>
      </w:r>
      <w:r w:rsidR="00893BDC">
        <w:rPr>
          <w:rFonts w:ascii="Calibri" w:hAnsi="Calibri" w:hint="eastAsia"/>
          <w:lang w:eastAsia="zh-HK"/>
        </w:rPr>
        <w:t xml:space="preserve">  </w:t>
      </w:r>
      <w:r w:rsidR="00893BDC" w:rsidRPr="00D81EA4">
        <w:rPr>
          <w:rFonts w:ascii="Calibri" w:hAnsi="Calibri"/>
          <w:lang w:eastAsia="zh-HK"/>
        </w:rPr>
        <w:t>)</w:t>
      </w:r>
      <w:r w:rsidR="001B464D">
        <w:rPr>
          <w:rFonts w:ascii="Calibri" w:hAnsi="Calibri" w:hint="eastAsia"/>
          <w:lang w:eastAsia="zh-HK"/>
        </w:rPr>
        <w:t xml:space="preserve"> to list on the Main Board of</w:t>
      </w:r>
      <w:r w:rsidR="00D65718">
        <w:rPr>
          <w:rFonts w:ascii="Calibri" w:hAnsi="Calibri" w:hint="eastAsia"/>
          <w:lang w:eastAsia="zh-HK"/>
        </w:rPr>
        <w:t xml:space="preserve"> </w:t>
      </w:r>
      <w:r w:rsidR="00FD048C">
        <w:rPr>
          <w:rFonts w:ascii="Calibri" w:hAnsi="Calibri" w:hint="eastAsia"/>
          <w:lang w:eastAsia="zh-HK"/>
        </w:rPr>
        <w:t xml:space="preserve">the </w:t>
      </w:r>
      <w:proofErr w:type="spellStart"/>
      <w:r w:rsidR="00FD048C">
        <w:rPr>
          <w:rFonts w:ascii="Calibri" w:hAnsi="Calibri" w:hint="eastAsia"/>
          <w:lang w:eastAsia="zh-HK"/>
        </w:rPr>
        <w:t>HKEx</w:t>
      </w:r>
      <w:proofErr w:type="spellEnd"/>
      <w:r w:rsidR="001B464D">
        <w:rPr>
          <w:rFonts w:ascii="Calibri" w:hAnsi="Calibri" w:hint="eastAsia"/>
          <w:lang w:eastAsia="zh-HK"/>
        </w:rPr>
        <w:t>,</w:t>
      </w:r>
      <w:r w:rsidR="00C66A83">
        <w:rPr>
          <w:rFonts w:ascii="Calibri" w:hAnsi="Calibri" w:hint="eastAsia"/>
          <w:lang w:eastAsia="zh-HK"/>
        </w:rPr>
        <w:t xml:space="preserve"> GNFG</w:t>
      </w:r>
      <w:r w:rsidR="001B464D">
        <w:rPr>
          <w:rFonts w:ascii="Calibri" w:hAnsi="Calibri" w:hint="eastAsia"/>
          <w:lang w:eastAsia="zh-HK"/>
        </w:rPr>
        <w:t xml:space="preserve"> </w:t>
      </w:r>
      <w:r w:rsidRPr="00D81EA4">
        <w:rPr>
          <w:rFonts w:ascii="Calibri" w:hAnsi="Calibri"/>
        </w:rPr>
        <w:t>provide</w:t>
      </w:r>
      <w:r w:rsidR="00C66A83">
        <w:rPr>
          <w:rFonts w:ascii="Calibri" w:hAnsi="Calibri" w:hint="eastAsia"/>
          <w:lang w:eastAsia="zh-HK"/>
        </w:rPr>
        <w:t>s</w:t>
      </w:r>
      <w:r w:rsidRPr="00D81EA4">
        <w:rPr>
          <w:rFonts w:ascii="Calibri" w:hAnsi="Calibri"/>
        </w:rPr>
        <w:t xml:space="preserve"> a wide range of financial</w:t>
      </w:r>
      <w:r w:rsidR="00D81EA4">
        <w:rPr>
          <w:rFonts w:ascii="Calibri" w:hAnsi="Calibri" w:hint="eastAsia"/>
          <w:lang w:eastAsia="zh-HK"/>
        </w:rPr>
        <w:t xml:space="preserve"> </w:t>
      </w:r>
      <w:r w:rsidRPr="00D81EA4">
        <w:rPr>
          <w:rFonts w:ascii="Calibri" w:hAnsi="Calibri"/>
        </w:rPr>
        <w:t>services including</w:t>
      </w:r>
      <w:r w:rsidRPr="00D81EA4">
        <w:rPr>
          <w:rFonts w:ascii="Calibri" w:hAnsi="Calibri"/>
          <w:lang w:eastAsia="zh-HK"/>
        </w:rPr>
        <w:t xml:space="preserve"> </w:t>
      </w:r>
      <w:r w:rsidR="00D81EA4">
        <w:rPr>
          <w:rFonts w:ascii="Calibri" w:hAnsi="Calibri" w:hint="eastAsia"/>
          <w:lang w:eastAsia="zh-HK"/>
        </w:rPr>
        <w:t>s</w:t>
      </w:r>
      <w:r w:rsidRPr="00D81EA4">
        <w:rPr>
          <w:rFonts w:ascii="Calibri" w:hAnsi="Calibri"/>
        </w:rPr>
        <w:t>ecurities</w:t>
      </w:r>
      <w:r w:rsidR="008E02D6">
        <w:rPr>
          <w:rFonts w:ascii="Calibri" w:hAnsi="Calibri" w:hint="eastAsia"/>
          <w:lang w:eastAsia="zh-HK"/>
        </w:rPr>
        <w:t>,</w:t>
      </w:r>
      <w:r w:rsidRPr="00D81EA4">
        <w:rPr>
          <w:rFonts w:ascii="Calibri" w:hAnsi="Calibri"/>
        </w:rPr>
        <w:t xml:space="preserve"> </w:t>
      </w:r>
      <w:r w:rsidR="00D81EA4">
        <w:rPr>
          <w:rFonts w:ascii="Calibri" w:hAnsi="Calibri" w:hint="eastAsia"/>
          <w:lang w:eastAsia="zh-HK"/>
        </w:rPr>
        <w:t>f</w:t>
      </w:r>
      <w:r w:rsidRPr="00D81EA4">
        <w:rPr>
          <w:rFonts w:ascii="Calibri" w:hAnsi="Calibri"/>
        </w:rPr>
        <w:t>utures</w:t>
      </w:r>
      <w:r w:rsidR="008E02D6">
        <w:rPr>
          <w:rFonts w:ascii="Calibri" w:hAnsi="Calibri" w:hint="eastAsia"/>
          <w:lang w:eastAsia="zh-HK"/>
        </w:rPr>
        <w:t xml:space="preserve"> and options</w:t>
      </w:r>
      <w:r w:rsidRPr="00D81EA4">
        <w:rPr>
          <w:rFonts w:ascii="Calibri" w:hAnsi="Calibri"/>
        </w:rPr>
        <w:t xml:space="preserve"> </w:t>
      </w:r>
      <w:r w:rsidR="00D81EA4">
        <w:rPr>
          <w:rFonts w:ascii="Calibri" w:hAnsi="Calibri" w:hint="eastAsia"/>
          <w:lang w:eastAsia="zh-HK"/>
        </w:rPr>
        <w:t>b</w:t>
      </w:r>
      <w:r w:rsidRPr="00D81EA4">
        <w:rPr>
          <w:rFonts w:ascii="Calibri" w:hAnsi="Calibri"/>
        </w:rPr>
        <w:t>roking</w:t>
      </w:r>
      <w:r w:rsidRPr="00D81EA4">
        <w:rPr>
          <w:rFonts w:ascii="Calibri" w:hAnsi="Calibri"/>
          <w:lang w:eastAsia="zh-HK"/>
        </w:rPr>
        <w:t xml:space="preserve"> service, m</w:t>
      </w:r>
      <w:r w:rsidRPr="00D81EA4">
        <w:rPr>
          <w:rFonts w:ascii="Calibri" w:hAnsi="Calibri"/>
        </w:rPr>
        <w:t xml:space="preserve">argin </w:t>
      </w:r>
      <w:r w:rsidRPr="00D81EA4">
        <w:rPr>
          <w:rFonts w:ascii="Calibri" w:hAnsi="Calibri"/>
          <w:lang w:eastAsia="zh-HK"/>
        </w:rPr>
        <w:t>f</w:t>
      </w:r>
      <w:r w:rsidRPr="00D81EA4">
        <w:rPr>
          <w:rFonts w:ascii="Calibri" w:hAnsi="Calibri"/>
        </w:rPr>
        <w:t>inancing</w:t>
      </w:r>
      <w:r w:rsidR="00D81EA4" w:rsidRPr="00D81EA4">
        <w:rPr>
          <w:rFonts w:ascii="Calibri" w:hAnsi="Calibri"/>
          <w:lang w:eastAsia="zh-HK"/>
        </w:rPr>
        <w:t>, placing and underwriting of securities</w:t>
      </w:r>
      <w:r w:rsidR="001B464D">
        <w:rPr>
          <w:rFonts w:ascii="Calibri" w:hAnsi="Calibri" w:hint="eastAsia"/>
          <w:lang w:eastAsia="zh-HK"/>
        </w:rPr>
        <w:t xml:space="preserve"> and</w:t>
      </w:r>
      <w:r w:rsidR="00D81EA4" w:rsidRPr="00D81EA4">
        <w:rPr>
          <w:rFonts w:ascii="Calibri" w:hAnsi="Calibri"/>
          <w:lang w:eastAsia="zh-HK"/>
        </w:rPr>
        <w:t xml:space="preserve"> corporate finance</w:t>
      </w:r>
      <w:r w:rsidR="008E02D6">
        <w:rPr>
          <w:rFonts w:ascii="Calibri" w:hAnsi="Calibri" w:hint="eastAsia"/>
          <w:lang w:eastAsia="zh-HK"/>
        </w:rPr>
        <w:t xml:space="preserve"> advisory.</w:t>
      </w:r>
    </w:p>
    <w:p w:rsidR="00085A3C" w:rsidRDefault="00085A3C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D045D4" w:rsidRDefault="00D045D4">
      <w:pPr>
        <w:rPr>
          <w:lang w:eastAsia="zh-HK"/>
        </w:rPr>
      </w:pPr>
    </w:p>
    <w:p w:rsidR="00CB13F3" w:rsidRDefault="006E017E" w:rsidP="00893BDC">
      <w:pPr>
        <w:widowControl/>
        <w:rPr>
          <w:lang w:eastAsia="zh-HK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75pt;margin-top:2.65pt;width:140.7pt;height:42.2pt;z-index:251658240">
            <v:textbox>
              <w:txbxContent>
                <w:p w:rsidR="00DE1209" w:rsidRDefault="00DE1209" w:rsidP="00DE1209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GET NICE HOLDINGS LTD</w:t>
                  </w:r>
                </w:p>
                <w:p w:rsidR="00DE1209" w:rsidRDefault="00DE1209" w:rsidP="00DE1209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Stock code: 64</w:t>
                  </w:r>
                </w:p>
              </w:txbxContent>
            </v:textbox>
          </v:shape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5.5pt;margin-top:8.9pt;width:0;height:27.25pt;z-index:251660288" o:connectortype="straight"/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702072" w:rsidP="00893BDC">
      <w:pPr>
        <w:widowControl/>
        <w:rPr>
          <w:lang w:eastAsia="zh-HK"/>
        </w:rPr>
      </w:pPr>
      <w:r>
        <w:rPr>
          <w:noProof/>
        </w:rPr>
        <w:pict>
          <v:shape id="_x0000_s1027" type="#_x0000_t32" style="position:absolute;margin-left:43.2pt;margin-top:.1pt;width:456.25pt;height:.05pt;z-index:251659264" o:connectortype="straight"/>
        </w:pict>
      </w:r>
      <w:r w:rsidR="006E017E">
        <w:rPr>
          <w:noProof/>
        </w:rPr>
        <w:pict>
          <v:shape id="_x0000_s1029" type="#_x0000_t32" style="position:absolute;margin-left:499.45pt;margin-top:-.05pt;width:0;height:43pt;z-index:251661312" o:connectortype="straight"/>
        </w:pict>
      </w:r>
      <w:r w:rsidR="006E017E">
        <w:rPr>
          <w:noProof/>
        </w:rPr>
        <w:pict>
          <v:shape id="_x0000_s1051" type="#_x0000_t202" style="position:absolute;margin-left:269.85pt;margin-top:111.15pt;width:126.3pt;height:42.2pt;z-index:251683840">
            <v:textbox>
              <w:txbxContent>
                <w:p w:rsidR="007175F8" w:rsidRDefault="007175F8" w:rsidP="00ED021C">
                  <w:pPr>
                    <w:spacing w:beforeLines="50"/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Properties Investment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42" type="#_x0000_t202" style="position:absolute;margin-left:478.55pt;margin-top:111.15pt;width:57.1pt;height:22.3pt;z-index:251674624" filled="f" stroked="f">
            <v:textbox>
              <w:txbxContent>
                <w:p w:rsidR="00BA3592" w:rsidRPr="00BA3592" w:rsidRDefault="00BA3592" w:rsidP="00BA3592">
                  <w:pPr>
                    <w:rPr>
                      <w:sz w:val="20"/>
                      <w:szCs w:val="20"/>
                      <w:lang w:eastAsia="zh-HK"/>
                    </w:rPr>
                  </w:pP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100%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61" type="#_x0000_t32" style="position:absolute;margin-left:43.2pt;margin-top:60.25pt;width:29.95pt;height:0;z-index:251692032" o:connectortype="straight"/>
        </w:pict>
      </w:r>
      <w:r w:rsidR="006E017E">
        <w:rPr>
          <w:noProof/>
        </w:rPr>
        <w:pict>
          <v:shape id="_x0000_s1030" type="#_x0000_t202" style="position:absolute;margin-left:408.85pt;margin-top:43.3pt;width:186.5pt;height:42.2pt;z-index:251662336">
            <v:textbox style="mso-next-textbox:#_x0000_s1030">
              <w:txbxContent>
                <w:p w:rsidR="00BA3592" w:rsidRDefault="00BA3592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GET NICE FINANC</w:t>
                  </w:r>
                  <w:r w:rsidR="00FD048C">
                    <w:rPr>
                      <w:rFonts w:hint="eastAsia"/>
                      <w:lang w:eastAsia="zh-HK"/>
                    </w:rPr>
                    <w:t>IAL</w:t>
                  </w:r>
                  <w:r>
                    <w:rPr>
                      <w:rFonts w:hint="eastAsia"/>
                      <w:lang w:eastAsia="zh-HK"/>
                    </w:rPr>
                    <w:t xml:space="preserve"> GROUP</w:t>
                  </w:r>
                  <w:r w:rsidR="00FD048C">
                    <w:rPr>
                      <w:rFonts w:hint="eastAsia"/>
                      <w:lang w:eastAsia="zh-HK"/>
                    </w:rPr>
                    <w:t xml:space="preserve"> LTD.</w:t>
                  </w:r>
                </w:p>
                <w:p w:rsidR="00BA3592" w:rsidRDefault="00BA3592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Stock code: 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40" type="#_x0000_t32" style="position:absolute;margin-left:482.8pt;margin-top:133.35pt;width:29.3pt;height:0;z-index:251672576" o:connectortype="straight"/>
        </w:pict>
      </w:r>
      <w:r w:rsidR="006E017E">
        <w:rPr>
          <w:noProof/>
        </w:rPr>
        <w:pict>
          <v:shape id="_x0000_s1060" type="#_x0000_t32" style="position:absolute;margin-left:43.2pt;margin-top:.1pt;width:0;height:131.4pt;z-index:251691008" o:connectortype="straight"/>
        </w:pict>
      </w:r>
      <w:r w:rsidR="006E017E">
        <w:rPr>
          <w:noProof/>
        </w:rPr>
        <w:pict>
          <v:shape id="_x0000_s1048" type="#_x0000_t32" style="position:absolute;margin-left:240.35pt;margin-top:.3pt;width:0;height:191.8pt;z-index:251680768" o:connectortype="straight"/>
        </w:pict>
      </w:r>
      <w:r w:rsidR="006E017E">
        <w:rPr>
          <w:noProof/>
        </w:rPr>
        <w:pict>
          <v:shape id="_x0000_s1063" type="#_x0000_t202" style="position:absolute;margin-left:43.2pt;margin-top:37.95pt;width:57.1pt;height:22.3pt;z-index:251694080" filled="f" stroked="f">
            <v:textbox>
              <w:txbxContent>
                <w:p w:rsidR="00086549" w:rsidRPr="00BA3592" w:rsidRDefault="00086549" w:rsidP="00086549">
                  <w:pPr>
                    <w:rPr>
                      <w:sz w:val="20"/>
                      <w:szCs w:val="20"/>
                      <w:lang w:eastAsia="zh-HK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80</w:t>
                  </w: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47" type="#_x0000_t202" style="position:absolute;margin-left:73.15pt;margin-top:40.75pt;width:128.9pt;height:42.2pt;z-index:251679744">
            <v:textbox style="mso-next-textbox:#_x0000_s1047">
              <w:txbxContent>
                <w:p w:rsidR="00D045D4" w:rsidRDefault="00D045D4" w:rsidP="00D045D4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GET NICE </w:t>
                  </w:r>
                  <w:r w:rsidR="007175F8">
                    <w:rPr>
                      <w:rFonts w:hint="eastAsia"/>
                      <w:lang w:eastAsia="zh-HK"/>
                    </w:rPr>
                    <w:t>REAL ESTATE</w:t>
                  </w:r>
                </w:p>
                <w:p w:rsidR="00D045D4" w:rsidRDefault="00086549" w:rsidP="00D045D4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Real Estate broking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58" type="#_x0000_t32" style="position:absolute;margin-left:240.35pt;margin-top:192.1pt;width:29.5pt;height:0;z-index:251688960" o:connectortype="straight"/>
        </w:pict>
      </w:r>
      <w:r w:rsidR="006E017E">
        <w:rPr>
          <w:noProof/>
        </w:rPr>
        <w:pict>
          <v:shape id="_x0000_s1049" type="#_x0000_t202" style="position:absolute;margin-left:235.25pt;margin-top:37.95pt;width:57.1pt;height:22.3pt;z-index:251681792" filled="f" stroked="f">
            <v:textbox style="mso-next-textbox:#_x0000_s1049">
              <w:txbxContent>
                <w:p w:rsidR="007175F8" w:rsidRPr="00BA3592" w:rsidRDefault="007175F8" w:rsidP="007175F8">
                  <w:pPr>
                    <w:rPr>
                      <w:sz w:val="20"/>
                      <w:szCs w:val="20"/>
                      <w:lang w:eastAsia="zh-HK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100</w:t>
                  </w: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46" type="#_x0000_t202" style="position:absolute;margin-left:269.85pt;margin-top:43.3pt;width:126.3pt;height:42.2pt;z-index:251678720">
            <v:textbox style="mso-next-textbox:#_x0000_s1046">
              <w:txbxContent>
                <w:p w:rsidR="00D045D4" w:rsidRDefault="00D045D4" w:rsidP="00D045D4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GET NICE FINANCE </w:t>
                  </w:r>
                </w:p>
                <w:p w:rsidR="007175F8" w:rsidRDefault="007175F8" w:rsidP="00D045D4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Money Lending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64" type="#_x0000_t202" style="position:absolute;margin-left:43.2pt;margin-top:109.2pt;width:57.1pt;height:22.3pt;z-index:251695104" filled="f" stroked="f">
            <v:textbox>
              <w:txbxContent>
                <w:p w:rsidR="00086549" w:rsidRPr="00BA3592" w:rsidRDefault="00086549" w:rsidP="00086549">
                  <w:pPr>
                    <w:rPr>
                      <w:sz w:val="20"/>
                      <w:szCs w:val="20"/>
                      <w:lang w:eastAsia="zh-HK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80</w:t>
                  </w: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59" type="#_x0000_t202" style="position:absolute;margin-left:73.15pt;margin-top:109.2pt;width:128.9pt;height:42.2pt;z-index:251689984">
            <v:textbox style="mso-next-textbox:#_x0000_s1059">
              <w:txbxContent>
                <w:p w:rsidR="00086549" w:rsidRDefault="00086549" w:rsidP="00086549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Properties Development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52" type="#_x0000_t202" style="position:absolute;margin-left:269.85pt;margin-top:177pt;width:126.3pt;height:42.2pt;z-index:251684864">
            <v:textbox>
              <w:txbxContent>
                <w:p w:rsidR="007175F8" w:rsidRDefault="007175F8" w:rsidP="007175F8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Financial Products Investment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44" type="#_x0000_t202" style="position:absolute;margin-left:479.4pt;margin-top:231.9pt;width:57.1pt;height:22.3pt;z-index:251676672" filled="f" stroked="f">
            <v:textbox>
              <w:txbxContent>
                <w:p w:rsidR="00BA3592" w:rsidRPr="00BA3592" w:rsidRDefault="00BA3592" w:rsidP="00BA3592">
                  <w:pPr>
                    <w:rPr>
                      <w:sz w:val="20"/>
                      <w:szCs w:val="20"/>
                      <w:lang w:eastAsia="zh-HK"/>
                    </w:rPr>
                  </w:pP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100%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53" type="#_x0000_t202" style="position:absolute;margin-left:235.25pt;margin-top:109.2pt;width:57.1pt;height:22.3pt;z-index:251685888" filled="f" stroked="f">
            <v:textbox>
              <w:txbxContent>
                <w:p w:rsidR="007175F8" w:rsidRPr="00BA3592" w:rsidRDefault="007175F8" w:rsidP="007175F8">
                  <w:pPr>
                    <w:rPr>
                      <w:sz w:val="20"/>
                      <w:szCs w:val="20"/>
                      <w:lang w:eastAsia="zh-HK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100</w:t>
                  </w: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50" type="#_x0000_t32" style="position:absolute;margin-left:240.35pt;margin-top:61.95pt;width:29.5pt;height:0;z-index:251682816" o:connectortype="straight"/>
        </w:pict>
      </w:r>
      <w:r w:rsidR="006E017E">
        <w:rPr>
          <w:noProof/>
        </w:rPr>
        <w:pict>
          <v:shape id="_x0000_s1054" type="#_x0000_t32" style="position:absolute;margin-left:240.35pt;margin-top:133.2pt;width:29.5pt;height:0;z-index:251686912" o:connectortype="straight"/>
        </w:pict>
      </w:r>
    </w:p>
    <w:p w:rsidR="00DE1209" w:rsidRDefault="006E017E" w:rsidP="00086549">
      <w:pPr>
        <w:widowControl/>
        <w:tabs>
          <w:tab w:val="left" w:pos="10742"/>
        </w:tabs>
        <w:rPr>
          <w:lang w:eastAsia="zh-HK"/>
        </w:rPr>
      </w:pPr>
      <w:r>
        <w:rPr>
          <w:noProof/>
        </w:rPr>
        <w:pict>
          <v:shape id="_x0000_s1041" type="#_x0000_t202" style="position:absolute;margin-left:499.45pt;margin-top:3pt;width:57.1pt;height:22.3pt;z-index:251673600" filled="f" stroked="f">
            <v:textbox>
              <w:txbxContent>
                <w:p w:rsidR="00BA3592" w:rsidRPr="00BA3592" w:rsidRDefault="00BA3592">
                  <w:pPr>
                    <w:rPr>
                      <w:sz w:val="20"/>
                      <w:szCs w:val="20"/>
                      <w:lang w:eastAsia="zh-HK"/>
                    </w:rPr>
                  </w:pP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72</w:t>
                  </w:r>
                  <w:r w:rsidR="00A159C6">
                    <w:rPr>
                      <w:rFonts w:hint="eastAsia"/>
                      <w:sz w:val="20"/>
                      <w:szCs w:val="20"/>
                      <w:lang w:eastAsia="zh-HK"/>
                    </w:rPr>
                    <w:t>.99</w:t>
                  </w: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%</w:t>
                  </w:r>
                </w:p>
              </w:txbxContent>
            </v:textbox>
          </v:shape>
        </w:pict>
      </w:r>
      <w:r w:rsidR="00086549">
        <w:rPr>
          <w:lang w:eastAsia="zh-HK"/>
        </w:rPr>
        <w:tab/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DE1209" w:rsidP="00893BDC">
      <w:pPr>
        <w:widowControl/>
        <w:rPr>
          <w:lang w:eastAsia="zh-HK"/>
        </w:rPr>
      </w:pP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 id="_x0000_s1031" type="#_x0000_t32" style="position:absolute;margin-left:482.8pt;margin-top:13.5pt;width:.1pt;height:168.7pt;z-index:251663360" o:connectortype="straight"/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 id="_x0000_s1032" type="#_x0000_t202" style="position:absolute;margin-left:512.1pt;margin-top:4.65pt;width:190.05pt;height:44.55pt;z-index:251664384">
            <v:textbox>
              <w:txbxContent>
                <w:p w:rsidR="00BA3592" w:rsidRDefault="00BA3592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GET NICE SECURITIES LTD</w:t>
                  </w:r>
                </w:p>
                <w:p w:rsidR="00BA3592" w:rsidRDefault="00FD048C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Securities broking &amp; margin finance</w:t>
                  </w:r>
                </w:p>
              </w:txbxContent>
            </v:textbox>
          </v:shape>
        </w:pict>
      </w: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 id="_x0000_s1062" type="#_x0000_t32" style="position:absolute;margin-left:43.2pt;margin-top:5.5pt;width:29.95pt;height:0;z-index:251693056" o:connectortype="straight"/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ED021C" w:rsidP="00893BDC">
      <w:pPr>
        <w:widowControl/>
        <w:rPr>
          <w:lang w:eastAsia="zh-HK"/>
        </w:rPr>
      </w:pPr>
      <w:r>
        <w:rPr>
          <w:noProof/>
        </w:rPr>
        <w:pict>
          <v:shape id="_x0000_s1043" type="#_x0000_t202" style="position:absolute;margin-left:478.55pt;margin-top:6.75pt;width:57.1pt;height:22.3pt;z-index:251675648" filled="f" stroked="f">
            <v:textbox>
              <w:txbxContent>
                <w:p w:rsidR="00BA3592" w:rsidRPr="00BA3592" w:rsidRDefault="00BA3592" w:rsidP="00BA3592">
                  <w:pPr>
                    <w:rPr>
                      <w:sz w:val="20"/>
                      <w:szCs w:val="20"/>
                      <w:lang w:eastAsia="zh-HK"/>
                    </w:rPr>
                  </w:pP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100%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34" type="#_x0000_t202" style="position:absolute;margin-left:512.1pt;margin-top:8.05pt;width:190.05pt;height:44.55pt;z-index:251666432">
            <v:textbox>
              <w:txbxContent>
                <w:p w:rsidR="00BA3592" w:rsidRDefault="00BA3592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GET NICE FUTURES CO LTD</w:t>
                  </w:r>
                </w:p>
                <w:p w:rsidR="00BA3592" w:rsidRDefault="00FD048C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Futures and option broking</w:t>
                  </w:r>
                </w:p>
              </w:txbxContent>
            </v:textbox>
          </v:shape>
        </w:pict>
      </w:r>
      <w:r w:rsidR="006E017E">
        <w:rPr>
          <w:noProof/>
        </w:rPr>
        <w:pict>
          <v:shape id="_x0000_s1057" type="#_x0000_t202" style="position:absolute;margin-left:235.25pt;margin-top:4.4pt;width:57.1pt;height:22.3pt;z-index:251687936" filled="f" stroked="f">
            <v:textbox>
              <w:txbxContent>
                <w:p w:rsidR="007175F8" w:rsidRPr="00BA3592" w:rsidRDefault="007175F8" w:rsidP="007175F8">
                  <w:pPr>
                    <w:rPr>
                      <w:sz w:val="20"/>
                      <w:szCs w:val="20"/>
                      <w:lang w:eastAsia="zh-HK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HK"/>
                    </w:rPr>
                    <w:t>100</w:t>
                  </w:r>
                  <w:r w:rsidRPr="00BA3592">
                    <w:rPr>
                      <w:rFonts w:hint="eastAsia"/>
                      <w:sz w:val="20"/>
                      <w:szCs w:val="20"/>
                      <w:lang w:eastAsia="zh-HK"/>
                    </w:rPr>
                    <w:t>%</w:t>
                  </w:r>
                </w:p>
              </w:txbxContent>
            </v:textbox>
          </v:shape>
        </w:pict>
      </w: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 id="_x0000_s1039" type="#_x0000_t32" style="position:absolute;margin-left:482.9pt;margin-top:12.1pt;width:29.3pt;height:0;z-index:251671552" o:connectortype="straight"/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 id="_x0000_s1035" type="#_x0000_t202" style="position:absolute;margin-left:512.1pt;margin-top:15.95pt;width:190.05pt;height:44.55pt;z-index:251667456">
            <v:textbox>
              <w:txbxContent>
                <w:p w:rsidR="00BA3592" w:rsidRDefault="00BA3592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GET NICE CAPITAL LTD</w:t>
                  </w:r>
                </w:p>
                <w:p w:rsidR="00BA3592" w:rsidRDefault="00FD048C" w:rsidP="00BA3592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Corporate finance</w:t>
                  </w:r>
                </w:p>
              </w:txbxContent>
            </v:textbox>
          </v:shape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6E017E" w:rsidP="00893BDC">
      <w:pPr>
        <w:widowControl/>
        <w:rPr>
          <w:lang w:eastAsia="zh-HK"/>
        </w:rPr>
      </w:pPr>
      <w:r>
        <w:rPr>
          <w:noProof/>
        </w:rPr>
        <w:pict>
          <v:shape id="_x0000_s1038" type="#_x0000_t32" style="position:absolute;margin-left:482.9pt;margin-top:2.2pt;width:29.3pt;height:0;z-index:251670528" o:connectortype="straight"/>
        </w:pict>
      </w:r>
    </w:p>
    <w:p w:rsidR="00DE1209" w:rsidRDefault="00DE1209" w:rsidP="00893BDC">
      <w:pPr>
        <w:widowControl/>
        <w:rPr>
          <w:lang w:eastAsia="zh-HK"/>
        </w:rPr>
      </w:pPr>
    </w:p>
    <w:p w:rsidR="00DE1209" w:rsidRDefault="00DE1209" w:rsidP="00893BDC">
      <w:pPr>
        <w:widowControl/>
        <w:rPr>
          <w:lang w:eastAsia="zh-HK"/>
        </w:rPr>
      </w:pPr>
    </w:p>
    <w:p w:rsidR="00DE1209" w:rsidRDefault="00DE1209" w:rsidP="00893BDC">
      <w:pPr>
        <w:widowControl/>
        <w:rPr>
          <w:lang w:eastAsia="zh-HK"/>
        </w:rPr>
      </w:pPr>
    </w:p>
    <w:p w:rsidR="00DE1209" w:rsidRDefault="00DE1209" w:rsidP="00893BDC">
      <w:pPr>
        <w:widowControl/>
        <w:rPr>
          <w:lang w:eastAsia="zh-HK"/>
        </w:rPr>
      </w:pPr>
    </w:p>
    <w:p w:rsidR="00CB13F3" w:rsidRPr="009B0E41" w:rsidRDefault="00CB13F3">
      <w:pPr>
        <w:rPr>
          <w:b/>
          <w:lang w:eastAsia="zh-HK"/>
        </w:rPr>
      </w:pPr>
      <w:r w:rsidRPr="009B0E41">
        <w:rPr>
          <w:rFonts w:hint="eastAsia"/>
          <w:b/>
          <w:lang w:eastAsia="zh-HK"/>
        </w:rPr>
        <w:lastRenderedPageBreak/>
        <w:t xml:space="preserve">Milestone </w:t>
      </w:r>
    </w:p>
    <w:p w:rsidR="00693EBD" w:rsidRPr="00DC128C" w:rsidRDefault="008046D1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HK"/>
        </w:rPr>
        <w:t>I</w:t>
      </w:r>
      <w:r w:rsidR="00693EBD" w:rsidRPr="00DC128C">
        <w:rPr>
          <w:rFonts w:ascii="Calibri" w:hAnsi="Calibri"/>
          <w:sz w:val="24"/>
          <w:szCs w:val="24"/>
        </w:rPr>
        <w:t xml:space="preserve">n 1988, Get Nice </w:t>
      </w:r>
      <w:r w:rsidR="00693EBD" w:rsidRPr="00DC128C">
        <w:rPr>
          <w:rFonts w:ascii="Calibri" w:hAnsi="Calibri"/>
          <w:sz w:val="24"/>
          <w:szCs w:val="24"/>
          <w:lang w:eastAsia="zh-HK"/>
        </w:rPr>
        <w:t>Securities Limited (“GNS”, formerly known as Ge</w:t>
      </w:r>
      <w:r w:rsidR="00693EBD" w:rsidRPr="00DC128C">
        <w:rPr>
          <w:rFonts w:ascii="Calibri" w:hAnsi="Calibri"/>
          <w:sz w:val="24"/>
          <w:szCs w:val="24"/>
        </w:rPr>
        <w:t>t Nice Investment Limited) was founded by the chairman of the Group, Mr. Hung Hon Man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DC128C" w:rsidRDefault="001B464D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HK"/>
        </w:rPr>
        <w:t>I</w:t>
      </w:r>
      <w:r w:rsidR="00693EBD" w:rsidRPr="00DC128C">
        <w:rPr>
          <w:rFonts w:ascii="Calibri" w:hAnsi="Calibri"/>
          <w:sz w:val="24"/>
          <w:szCs w:val="24"/>
        </w:rPr>
        <w:t xml:space="preserve">n 1989, </w:t>
      </w:r>
      <w:r w:rsidR="001A2B71">
        <w:rPr>
          <w:rFonts w:ascii="Arial" w:hAnsi="Arial" w:cs="Arial"/>
          <w:sz w:val="20"/>
          <w:szCs w:val="20"/>
        </w:rPr>
        <w:t>commenced</w:t>
      </w:r>
      <w:r w:rsidR="001A2B71">
        <w:rPr>
          <w:rFonts w:ascii="Arial" w:hAnsi="Arial" w:cs="Arial" w:hint="eastAsia"/>
          <w:sz w:val="20"/>
          <w:szCs w:val="20"/>
          <w:lang w:eastAsia="zh-HK"/>
        </w:rPr>
        <w:t xml:space="preserve"> securities broking service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DC128C" w:rsidRDefault="001A2B71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HK"/>
        </w:rPr>
        <w:t>In</w:t>
      </w:r>
      <w:r w:rsidR="00693EBD" w:rsidRPr="00DC128C">
        <w:rPr>
          <w:rFonts w:ascii="Calibri" w:hAnsi="Calibri"/>
          <w:sz w:val="24"/>
          <w:szCs w:val="24"/>
        </w:rPr>
        <w:t xml:space="preserve"> 1990, </w:t>
      </w:r>
      <w:r>
        <w:rPr>
          <w:rFonts w:ascii="Calibri" w:hAnsi="Calibri" w:hint="eastAsia"/>
          <w:sz w:val="24"/>
          <w:szCs w:val="24"/>
          <w:lang w:eastAsia="zh-HK"/>
        </w:rPr>
        <w:t>commenced</w:t>
      </w:r>
      <w:r w:rsidR="00693EBD" w:rsidRPr="00DC128C">
        <w:rPr>
          <w:rFonts w:ascii="Calibri" w:hAnsi="Calibri"/>
          <w:sz w:val="24"/>
          <w:szCs w:val="24"/>
        </w:rPr>
        <w:t xml:space="preserve"> in 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margin </w:t>
      </w:r>
      <w:r w:rsidR="00693EBD" w:rsidRPr="00DC128C">
        <w:rPr>
          <w:rFonts w:ascii="Calibri" w:hAnsi="Calibri"/>
          <w:sz w:val="24"/>
          <w:szCs w:val="24"/>
        </w:rPr>
        <w:t>financing business.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Default="001A2B71" w:rsidP="00501A84">
      <w:pPr>
        <w:pStyle w:val="Body"/>
        <w:numPr>
          <w:ilvl w:val="0"/>
          <w:numId w:val="19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HK"/>
        </w:rPr>
        <w:t xml:space="preserve">In 1992, </w:t>
      </w:r>
      <w:r w:rsidR="00693EBD" w:rsidRPr="006A4B6A">
        <w:rPr>
          <w:rFonts w:ascii="Calibri" w:hAnsi="Calibri"/>
          <w:sz w:val="24"/>
          <w:szCs w:val="24"/>
        </w:rPr>
        <w:t>Get Nice Futures</w:t>
      </w:r>
      <w:r w:rsidR="00693EBD" w:rsidRPr="006A4B6A">
        <w:rPr>
          <w:rFonts w:ascii="Calibri" w:hAnsi="Calibri"/>
          <w:sz w:val="24"/>
          <w:szCs w:val="24"/>
          <w:lang w:eastAsia="zh-HK"/>
        </w:rPr>
        <w:t xml:space="preserve"> Co</w:t>
      </w:r>
      <w:r w:rsidR="00934CFC">
        <w:rPr>
          <w:rFonts w:ascii="Calibri" w:hAnsi="Calibri" w:hint="eastAsia"/>
          <w:sz w:val="24"/>
          <w:szCs w:val="24"/>
          <w:lang w:eastAsia="zh-HK"/>
        </w:rPr>
        <w:t>mpany</w:t>
      </w:r>
      <w:r w:rsidR="00693EBD" w:rsidRPr="006A4B6A">
        <w:rPr>
          <w:rFonts w:ascii="Calibri" w:hAnsi="Calibri"/>
          <w:sz w:val="24"/>
          <w:szCs w:val="24"/>
          <w:lang w:eastAsia="zh-HK"/>
        </w:rPr>
        <w:t xml:space="preserve"> Limited (“GN Future”)</w:t>
      </w:r>
      <w:r w:rsidR="00693EBD" w:rsidRPr="006A4B6A">
        <w:rPr>
          <w:rFonts w:ascii="Calibri" w:hAnsi="Calibri"/>
          <w:sz w:val="24"/>
          <w:szCs w:val="24"/>
        </w:rPr>
        <w:t xml:space="preserve"> was incorporated in to engage in the brokerage service for futures and options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A4B6A" w:rsidRPr="006A4B6A" w:rsidRDefault="006A4B6A" w:rsidP="006A4B6A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</w:rPr>
        <w:t xml:space="preserve"> 1998,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GNS started to</w:t>
      </w:r>
      <w:r w:rsidR="00693EBD" w:rsidRPr="00DC128C">
        <w:rPr>
          <w:rFonts w:ascii="Calibri" w:hAnsi="Calibri"/>
          <w:sz w:val="24"/>
          <w:szCs w:val="24"/>
        </w:rPr>
        <w:t xml:space="preserve"> participate in underwriting and placing of Hong Kong listed securities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  <w:lang w:eastAsia="zh-HK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</w:rPr>
        <w:t xml:space="preserve"> 200</w:t>
      </w:r>
      <w:r>
        <w:rPr>
          <w:rFonts w:ascii="Calibri" w:hAnsi="Calibri" w:hint="eastAsia"/>
          <w:sz w:val="24"/>
          <w:szCs w:val="24"/>
          <w:lang w:eastAsia="zh-HK"/>
        </w:rPr>
        <w:t>1</w:t>
      </w:r>
      <w:r w:rsidR="00693EBD" w:rsidRPr="00DC128C">
        <w:rPr>
          <w:rFonts w:ascii="Calibri" w:hAnsi="Calibri"/>
          <w:sz w:val="24"/>
          <w:szCs w:val="24"/>
        </w:rPr>
        <w:t>, established Get Nice Capital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Limited to provide corporate finance services. 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</w:rPr>
        <w:t xml:space="preserve"> 2002, Get Nice Holding</w:t>
      </w:r>
      <w:r w:rsidR="00934CFC">
        <w:rPr>
          <w:rFonts w:ascii="Calibri" w:hAnsi="Calibri" w:hint="eastAsia"/>
          <w:sz w:val="24"/>
          <w:szCs w:val="24"/>
          <w:lang w:eastAsia="zh-HK"/>
        </w:rPr>
        <w:t>s</w:t>
      </w:r>
      <w:r w:rsidR="008046D1">
        <w:rPr>
          <w:rFonts w:ascii="Calibri" w:hAnsi="Calibri"/>
          <w:sz w:val="24"/>
          <w:szCs w:val="24"/>
          <w:lang w:eastAsia="zh-HK"/>
        </w:rPr>
        <w:t xml:space="preserve"> Limited (“GNHL” Stock code</w:t>
      </w:r>
      <w:r w:rsidR="00693EBD" w:rsidRPr="00DC128C">
        <w:rPr>
          <w:rFonts w:ascii="Calibri" w:hAnsi="Calibri"/>
          <w:sz w:val="24"/>
          <w:szCs w:val="24"/>
          <w:lang w:eastAsia="zh-HK"/>
        </w:rPr>
        <w:t>: 64 or the “Group”)</w:t>
      </w:r>
      <w:r w:rsidR="00693EBD" w:rsidRPr="00DC128C">
        <w:rPr>
          <w:rFonts w:ascii="Calibri" w:hAnsi="Calibri"/>
          <w:sz w:val="24"/>
          <w:szCs w:val="24"/>
        </w:rPr>
        <w:t xml:space="preserve"> started listing on the Main Board of </w:t>
      </w:r>
      <w:proofErr w:type="spellStart"/>
      <w:r w:rsidR="00693EBD" w:rsidRPr="00DC128C">
        <w:rPr>
          <w:rFonts w:ascii="Calibri" w:hAnsi="Calibri"/>
          <w:sz w:val="24"/>
          <w:szCs w:val="24"/>
        </w:rPr>
        <w:t>HKEx</w:t>
      </w:r>
      <w:proofErr w:type="spellEnd"/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8046D1" w:rsidRPr="00DC128C" w:rsidRDefault="008046D1" w:rsidP="00501A84">
      <w:pPr>
        <w:pStyle w:val="Body"/>
        <w:jc w:val="both"/>
        <w:rPr>
          <w:rFonts w:ascii="Calibri" w:hAnsi="Calibri"/>
          <w:sz w:val="24"/>
          <w:szCs w:val="24"/>
          <w:lang w:eastAsia="zh-HK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</w:rPr>
        <w:t xml:space="preserve"> 2005, 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the Group </w:t>
      </w:r>
      <w:r w:rsidR="00693EBD" w:rsidRPr="00DC128C">
        <w:rPr>
          <w:rFonts w:ascii="Calibri" w:hAnsi="Calibri"/>
          <w:sz w:val="24"/>
          <w:szCs w:val="24"/>
        </w:rPr>
        <w:t xml:space="preserve">acquired </w:t>
      </w:r>
      <w:proofErr w:type="spellStart"/>
      <w:r w:rsidR="00693EBD" w:rsidRPr="00DC128C">
        <w:rPr>
          <w:rFonts w:ascii="Calibri" w:hAnsi="Calibri"/>
          <w:sz w:val="24"/>
          <w:szCs w:val="24"/>
        </w:rPr>
        <w:t>Steppington</w:t>
      </w:r>
      <w:proofErr w:type="spellEnd"/>
      <w:r w:rsidR="00693EBD" w:rsidRPr="00DC128C">
        <w:rPr>
          <w:rFonts w:ascii="Calibri" w:hAnsi="Calibri"/>
          <w:sz w:val="24"/>
          <w:szCs w:val="24"/>
        </w:rPr>
        <w:t xml:space="preserve"> Holdings Limited and its subsidiaries, the principle activities of the </w:t>
      </w:r>
      <w:proofErr w:type="spellStart"/>
      <w:r w:rsidR="00693EBD" w:rsidRPr="00DC128C">
        <w:rPr>
          <w:rFonts w:ascii="Calibri" w:hAnsi="Calibri"/>
          <w:sz w:val="24"/>
          <w:szCs w:val="24"/>
        </w:rPr>
        <w:t>Steppington</w:t>
      </w:r>
      <w:proofErr w:type="spellEnd"/>
      <w:r w:rsidR="00693EBD" w:rsidRPr="00DC128C">
        <w:rPr>
          <w:rFonts w:ascii="Calibri" w:hAnsi="Calibri"/>
          <w:sz w:val="24"/>
          <w:szCs w:val="24"/>
        </w:rPr>
        <w:t xml:space="preserve"> are the provision of financial services through its subsidiary. The Group also acquired its property situated at 10/F., </w:t>
      </w:r>
      <w:proofErr w:type="spellStart"/>
      <w:r w:rsidR="00693EBD" w:rsidRPr="00DC128C">
        <w:rPr>
          <w:rFonts w:ascii="Calibri" w:hAnsi="Calibri"/>
          <w:sz w:val="24"/>
          <w:szCs w:val="24"/>
        </w:rPr>
        <w:t>Cosco</w:t>
      </w:r>
      <w:proofErr w:type="spellEnd"/>
      <w:r w:rsidR="00693EBD" w:rsidRPr="00DC128C">
        <w:rPr>
          <w:rFonts w:ascii="Calibri" w:hAnsi="Calibri"/>
          <w:sz w:val="24"/>
          <w:szCs w:val="24"/>
        </w:rPr>
        <w:t xml:space="preserve"> Tower Grand Millennium Plaza, 183 Queen’s Road Central, Hong Kong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which is the present head office of the Group.</w:t>
      </w:r>
    </w:p>
    <w:p w:rsidR="00693EBD" w:rsidRPr="00DC128C" w:rsidRDefault="00693EBD" w:rsidP="00501A84">
      <w:pPr>
        <w:pStyle w:val="Body"/>
        <w:ind w:left="240"/>
        <w:jc w:val="both"/>
        <w:rPr>
          <w:rFonts w:ascii="Calibri" w:hAnsi="Calibri"/>
          <w:sz w:val="24"/>
          <w:szCs w:val="24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2005</w:t>
      </w:r>
      <w:r w:rsidR="00693EBD" w:rsidRPr="00DC128C">
        <w:rPr>
          <w:rFonts w:ascii="Calibri" w:hAnsi="Calibri"/>
          <w:sz w:val="24"/>
          <w:szCs w:val="24"/>
        </w:rPr>
        <w:t xml:space="preserve">, </w:t>
      </w:r>
      <w:r w:rsidR="00693EBD" w:rsidRPr="00DC128C">
        <w:rPr>
          <w:rFonts w:ascii="Calibri" w:hAnsi="Calibri"/>
          <w:sz w:val="24"/>
          <w:szCs w:val="24"/>
          <w:lang w:eastAsia="zh-HK"/>
        </w:rPr>
        <w:t>GN Finance re-</w:t>
      </w:r>
      <w:r w:rsidR="004E3EEE" w:rsidRPr="00DC128C">
        <w:rPr>
          <w:rFonts w:ascii="Calibri" w:hAnsi="Calibri"/>
          <w:sz w:val="24"/>
          <w:szCs w:val="24"/>
          <w:lang w:eastAsia="zh-HK"/>
        </w:rPr>
        <w:t>activated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its money lending business.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086549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</w:t>
      </w:r>
      <w:r w:rsidR="00693EBD" w:rsidRPr="00DC128C">
        <w:rPr>
          <w:rFonts w:ascii="Calibri" w:hAnsi="Calibri"/>
          <w:sz w:val="24"/>
          <w:szCs w:val="24"/>
        </w:rPr>
        <w:t>2006, the Group purchased a land situated at Kowloon for redevelopment and sales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 w:rsidRPr="00DC128C">
        <w:rPr>
          <w:rFonts w:ascii="Calibri" w:hAnsi="Calibri"/>
          <w:sz w:val="24"/>
          <w:szCs w:val="24"/>
        </w:rPr>
        <w:lastRenderedPageBreak/>
        <w:t>In 200</w:t>
      </w:r>
      <w:r w:rsidRPr="00DC128C">
        <w:rPr>
          <w:rFonts w:ascii="Calibri" w:hAnsi="Calibri"/>
          <w:sz w:val="24"/>
          <w:szCs w:val="24"/>
          <w:lang w:eastAsia="zh-HK"/>
        </w:rPr>
        <w:t>6</w:t>
      </w:r>
      <w:r w:rsidRPr="00DC128C">
        <w:rPr>
          <w:rFonts w:ascii="Calibri" w:hAnsi="Calibri"/>
          <w:sz w:val="24"/>
          <w:szCs w:val="24"/>
        </w:rPr>
        <w:t xml:space="preserve">, the Group acquired </w:t>
      </w:r>
      <w:r w:rsidRPr="00DC128C">
        <w:rPr>
          <w:rFonts w:ascii="Calibri" w:hAnsi="Calibri"/>
          <w:sz w:val="24"/>
          <w:szCs w:val="24"/>
          <w:lang w:eastAsia="zh-HK"/>
        </w:rPr>
        <w:t>2</w:t>
      </w:r>
      <w:r w:rsidRPr="00DC128C">
        <w:rPr>
          <w:rFonts w:ascii="Calibri" w:hAnsi="Calibri"/>
          <w:sz w:val="24"/>
          <w:szCs w:val="24"/>
        </w:rPr>
        <w:t>5% property interest in Macau’s Grand Waldo Complex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  <w:lang w:eastAsia="zh-HK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</w:t>
      </w:r>
      <w:r w:rsidR="00693EBD" w:rsidRPr="00DC128C">
        <w:rPr>
          <w:rFonts w:ascii="Calibri" w:hAnsi="Calibri"/>
          <w:sz w:val="24"/>
          <w:szCs w:val="24"/>
        </w:rPr>
        <w:t xml:space="preserve">2007, the Group 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increased its property interest in </w:t>
      </w:r>
      <w:r w:rsidR="00693EBD" w:rsidRPr="00DC128C">
        <w:rPr>
          <w:rFonts w:ascii="Calibri" w:hAnsi="Calibri"/>
          <w:sz w:val="24"/>
          <w:szCs w:val="24"/>
        </w:rPr>
        <w:t>Macau</w:t>
      </w:r>
      <w:r w:rsidR="00693EBD" w:rsidRPr="00DC128C">
        <w:rPr>
          <w:rFonts w:ascii="Calibri" w:eastAsia="Arial Unicode MS,Helvetica" w:hAnsi="Calibri" w:cs="Arial Unicode MS,Helvetica"/>
          <w:sz w:val="24"/>
          <w:szCs w:val="24"/>
        </w:rPr>
        <w:t>’</w:t>
      </w:r>
      <w:r w:rsidR="00693EBD" w:rsidRPr="00DC128C">
        <w:rPr>
          <w:rFonts w:ascii="Calibri" w:hAnsi="Calibri"/>
          <w:sz w:val="24"/>
          <w:szCs w:val="24"/>
        </w:rPr>
        <w:t>s Grand Waldo Complex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to 45%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  <w:lang w:eastAsia="zh-HK"/>
        </w:rPr>
      </w:pPr>
    </w:p>
    <w:p w:rsidR="00693EBD" w:rsidRPr="00DC128C" w:rsidRDefault="00693EBD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 w:rsidRPr="00DC128C">
        <w:rPr>
          <w:rFonts w:ascii="Calibri" w:hAnsi="Calibri"/>
          <w:sz w:val="24"/>
          <w:szCs w:val="24"/>
        </w:rPr>
        <w:t>In</w:t>
      </w:r>
      <w:r w:rsidRPr="00DC128C">
        <w:rPr>
          <w:rFonts w:ascii="Calibri" w:hAnsi="Calibri"/>
          <w:sz w:val="24"/>
          <w:szCs w:val="24"/>
          <w:lang w:eastAsia="zh-HK"/>
        </w:rPr>
        <w:t xml:space="preserve"> </w:t>
      </w:r>
      <w:r w:rsidRPr="00DC128C">
        <w:rPr>
          <w:rFonts w:ascii="Calibri" w:hAnsi="Calibri"/>
          <w:sz w:val="24"/>
          <w:szCs w:val="24"/>
        </w:rPr>
        <w:t>2008, the Group invested in Taiwan’s property market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DC128C" w:rsidRDefault="00693EBD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 w:rsidRPr="00DC128C">
        <w:rPr>
          <w:rFonts w:ascii="Calibri" w:hAnsi="Calibri"/>
          <w:sz w:val="24"/>
          <w:szCs w:val="24"/>
        </w:rPr>
        <w:t xml:space="preserve">In 2009, </w:t>
      </w:r>
      <w:r w:rsidRPr="00DC128C">
        <w:rPr>
          <w:rFonts w:ascii="Calibri" w:hAnsi="Calibri"/>
          <w:sz w:val="24"/>
          <w:szCs w:val="24"/>
          <w:lang w:eastAsia="zh-HK"/>
        </w:rPr>
        <w:t xml:space="preserve">the Group </w:t>
      </w:r>
      <w:r w:rsidRPr="00DC128C">
        <w:rPr>
          <w:rFonts w:ascii="Calibri" w:hAnsi="Calibri"/>
          <w:sz w:val="24"/>
          <w:szCs w:val="24"/>
        </w:rPr>
        <w:t xml:space="preserve">further acquired Grand Waldo property interest to 50% and obtained 50% </w:t>
      </w:r>
      <w:r w:rsidRPr="00DC128C">
        <w:rPr>
          <w:rFonts w:ascii="Calibri" w:hAnsi="Calibri"/>
          <w:sz w:val="24"/>
          <w:szCs w:val="24"/>
          <w:lang w:eastAsia="zh-HK"/>
        </w:rPr>
        <w:t xml:space="preserve">equity interest in </w:t>
      </w:r>
      <w:r w:rsidRPr="00DC128C">
        <w:rPr>
          <w:rFonts w:ascii="Calibri" w:hAnsi="Calibri"/>
          <w:sz w:val="24"/>
          <w:szCs w:val="24"/>
        </w:rPr>
        <w:t>companies</w:t>
      </w:r>
      <w:r w:rsidRPr="00DC128C">
        <w:rPr>
          <w:rFonts w:ascii="Calibri" w:hAnsi="Calibri"/>
          <w:sz w:val="24"/>
          <w:szCs w:val="24"/>
          <w:lang w:eastAsia="zh-HK"/>
        </w:rPr>
        <w:t xml:space="preserve"> operating hotel and entertainment businesses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ind w:left="240" w:firstLine="315"/>
        <w:jc w:val="both"/>
        <w:rPr>
          <w:rFonts w:ascii="Calibri" w:eastAsia="Helvetica" w:hAnsi="Calibri" w:cs="Helvetica"/>
          <w:position w:val="4"/>
          <w:sz w:val="24"/>
          <w:szCs w:val="24"/>
        </w:rPr>
      </w:pPr>
    </w:p>
    <w:p w:rsidR="00693EBD" w:rsidRPr="00DC128C" w:rsidRDefault="00693EBD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sz w:val="24"/>
          <w:szCs w:val="24"/>
          <w:lang w:eastAsia="zh-HK"/>
        </w:rPr>
      </w:pPr>
      <w:r w:rsidRPr="00DC128C">
        <w:rPr>
          <w:rFonts w:ascii="Calibri" w:hAnsi="Calibri"/>
          <w:sz w:val="24"/>
          <w:szCs w:val="24"/>
        </w:rPr>
        <w:t xml:space="preserve">In 2010, </w:t>
      </w:r>
      <w:r w:rsidRPr="00DC128C">
        <w:rPr>
          <w:rFonts w:ascii="Calibri" w:hAnsi="Calibri"/>
          <w:sz w:val="24"/>
          <w:szCs w:val="24"/>
          <w:lang w:eastAsia="zh-HK"/>
        </w:rPr>
        <w:t xml:space="preserve">the Group </w:t>
      </w:r>
      <w:r w:rsidRPr="00DC128C">
        <w:rPr>
          <w:rFonts w:ascii="Calibri" w:hAnsi="Calibri"/>
          <w:sz w:val="24"/>
          <w:szCs w:val="24"/>
        </w:rPr>
        <w:t xml:space="preserve">further </w:t>
      </w:r>
      <w:r w:rsidRPr="00DC128C">
        <w:rPr>
          <w:rFonts w:ascii="Calibri" w:hAnsi="Calibri"/>
          <w:sz w:val="24"/>
          <w:szCs w:val="24"/>
          <w:lang w:eastAsia="zh-HK"/>
        </w:rPr>
        <w:t xml:space="preserve">increased property interest in </w:t>
      </w:r>
      <w:r w:rsidRPr="00DC128C">
        <w:rPr>
          <w:rFonts w:ascii="Calibri" w:hAnsi="Calibri"/>
          <w:sz w:val="24"/>
          <w:szCs w:val="24"/>
        </w:rPr>
        <w:t xml:space="preserve">Grand Waldo </w:t>
      </w:r>
      <w:r w:rsidRPr="00DC128C">
        <w:rPr>
          <w:rFonts w:ascii="Calibri" w:hAnsi="Calibri"/>
          <w:sz w:val="24"/>
          <w:szCs w:val="24"/>
          <w:lang w:eastAsia="zh-HK"/>
        </w:rPr>
        <w:t xml:space="preserve">complex to </w:t>
      </w:r>
      <w:r w:rsidRPr="00DC128C">
        <w:rPr>
          <w:rFonts w:ascii="Calibri" w:hAnsi="Calibri"/>
          <w:sz w:val="24"/>
          <w:szCs w:val="24"/>
        </w:rPr>
        <w:t xml:space="preserve">65%, </w:t>
      </w:r>
      <w:r w:rsidRPr="00DC128C">
        <w:rPr>
          <w:rFonts w:ascii="Calibri" w:hAnsi="Calibri"/>
          <w:sz w:val="24"/>
          <w:szCs w:val="24"/>
          <w:lang w:eastAsia="zh-HK"/>
        </w:rPr>
        <w:t xml:space="preserve">and increased equity interest in </w:t>
      </w:r>
      <w:r w:rsidRPr="00DC128C">
        <w:rPr>
          <w:rFonts w:ascii="Calibri" w:hAnsi="Calibri"/>
          <w:sz w:val="24"/>
          <w:szCs w:val="24"/>
        </w:rPr>
        <w:t>companies</w:t>
      </w:r>
      <w:r w:rsidRPr="00DC128C">
        <w:rPr>
          <w:rFonts w:ascii="Calibri" w:hAnsi="Calibri"/>
          <w:sz w:val="24"/>
          <w:szCs w:val="24"/>
          <w:lang w:eastAsia="zh-HK"/>
        </w:rPr>
        <w:t xml:space="preserve"> operating hotel and entertainment businesses to 65%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  <w:lang w:eastAsia="zh-HK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 </w:t>
      </w:r>
      <w:r w:rsidR="00693EBD" w:rsidRPr="00DC128C">
        <w:rPr>
          <w:rFonts w:ascii="Calibri" w:hAnsi="Calibri"/>
          <w:sz w:val="24"/>
          <w:szCs w:val="24"/>
        </w:rPr>
        <w:t xml:space="preserve">2012, </w:t>
      </w:r>
      <w:r w:rsidR="00693EBD" w:rsidRPr="00DC128C">
        <w:rPr>
          <w:rFonts w:ascii="Calibri" w:hAnsi="Calibri"/>
          <w:sz w:val="24"/>
          <w:szCs w:val="24"/>
          <w:lang w:eastAsia="zh-HK"/>
        </w:rPr>
        <w:t xml:space="preserve">the Group </w:t>
      </w:r>
      <w:r w:rsidR="00693EBD" w:rsidRPr="00DC128C">
        <w:rPr>
          <w:rFonts w:ascii="Calibri" w:hAnsi="Calibri"/>
          <w:sz w:val="24"/>
          <w:szCs w:val="24"/>
        </w:rPr>
        <w:t>dispos</w:t>
      </w:r>
      <w:r w:rsidR="00693EBD" w:rsidRPr="00DC128C">
        <w:rPr>
          <w:rFonts w:ascii="Calibri" w:hAnsi="Calibri"/>
          <w:sz w:val="24"/>
          <w:szCs w:val="24"/>
          <w:lang w:eastAsia="zh-HK"/>
        </w:rPr>
        <w:t>ed</w:t>
      </w:r>
      <w:r w:rsidR="00693EBD" w:rsidRPr="00DC128C">
        <w:rPr>
          <w:rFonts w:ascii="Calibri" w:hAnsi="Calibri"/>
          <w:sz w:val="24"/>
          <w:szCs w:val="24"/>
        </w:rPr>
        <w:t xml:space="preserve"> of Taiwan properties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1A2B71">
      <w:pPr>
        <w:pStyle w:val="Body"/>
        <w:jc w:val="both"/>
        <w:rPr>
          <w:rFonts w:ascii="Calibri" w:eastAsia="Helvetica" w:hAnsi="Calibri" w:cs="Helvetica"/>
          <w:position w:val="4"/>
          <w:sz w:val="24"/>
          <w:szCs w:val="24"/>
          <w:lang w:eastAsia="zh-HK"/>
        </w:rPr>
      </w:pPr>
    </w:p>
    <w:p w:rsidR="00693EBD" w:rsidRPr="00DC128C" w:rsidRDefault="00230B29" w:rsidP="00501A84">
      <w:pPr>
        <w:pStyle w:val="Body"/>
        <w:numPr>
          <w:ilvl w:val="0"/>
          <w:numId w:val="19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693EBD" w:rsidRPr="00DC128C">
        <w:rPr>
          <w:rFonts w:ascii="Calibri" w:hAnsi="Calibri"/>
          <w:sz w:val="24"/>
          <w:szCs w:val="24"/>
        </w:rPr>
        <w:t xml:space="preserve"> 2012, the Group acquired a</w:t>
      </w:r>
      <w:r w:rsidR="00702072">
        <w:rPr>
          <w:rFonts w:ascii="Calibri" w:hAnsi="Calibri" w:hint="eastAsia"/>
          <w:sz w:val="24"/>
          <w:szCs w:val="24"/>
          <w:lang w:eastAsia="zh-HK"/>
        </w:rPr>
        <w:t>n</w:t>
      </w:r>
      <w:r w:rsidR="00693EBD" w:rsidRPr="00DC128C">
        <w:rPr>
          <w:rFonts w:ascii="Calibri" w:hAnsi="Calibri"/>
          <w:sz w:val="24"/>
          <w:szCs w:val="24"/>
        </w:rPr>
        <w:t xml:space="preserve"> industrial property for investment purpose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DC128C" w:rsidRDefault="00693EBD" w:rsidP="00501A84">
      <w:pPr>
        <w:pStyle w:val="Body"/>
        <w:jc w:val="both"/>
        <w:rPr>
          <w:rFonts w:ascii="Calibri" w:hAnsi="Calibri"/>
          <w:sz w:val="24"/>
          <w:szCs w:val="24"/>
        </w:rPr>
      </w:pPr>
    </w:p>
    <w:p w:rsidR="00693EBD" w:rsidRPr="00DC128C" w:rsidRDefault="00693EBD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 w:rsidRPr="00DC128C">
        <w:rPr>
          <w:rFonts w:ascii="Calibri" w:hAnsi="Calibri"/>
          <w:sz w:val="24"/>
          <w:szCs w:val="24"/>
        </w:rPr>
        <w:t xml:space="preserve">In 2013, </w:t>
      </w:r>
      <w:r w:rsidRPr="00DC128C">
        <w:rPr>
          <w:rFonts w:ascii="Calibri" w:hAnsi="Calibri"/>
          <w:sz w:val="24"/>
          <w:szCs w:val="24"/>
          <w:lang w:eastAsia="zh-HK"/>
        </w:rPr>
        <w:t xml:space="preserve">the Group </w:t>
      </w:r>
      <w:r w:rsidRPr="00DC128C">
        <w:rPr>
          <w:rFonts w:ascii="Calibri" w:hAnsi="Calibri"/>
          <w:sz w:val="24"/>
          <w:szCs w:val="24"/>
        </w:rPr>
        <w:t>disposed of Grand Waldo Complex</w:t>
      </w:r>
      <w:r w:rsidRPr="00DC128C">
        <w:rPr>
          <w:rFonts w:ascii="Calibri" w:hAnsi="Calibri"/>
          <w:sz w:val="24"/>
          <w:szCs w:val="24"/>
          <w:lang w:eastAsia="zh-HK"/>
        </w:rPr>
        <w:t xml:space="preserve"> and all the assets relating</w:t>
      </w:r>
      <w:r w:rsidR="00FD048C">
        <w:rPr>
          <w:rFonts w:ascii="Calibri" w:hAnsi="Calibri" w:hint="eastAsia"/>
          <w:sz w:val="24"/>
          <w:szCs w:val="24"/>
          <w:lang w:eastAsia="zh-HK"/>
        </w:rPr>
        <w:t xml:space="preserve"> to</w:t>
      </w:r>
      <w:r w:rsidRPr="00DC128C">
        <w:rPr>
          <w:rFonts w:ascii="Calibri" w:hAnsi="Calibri"/>
          <w:sz w:val="24"/>
          <w:szCs w:val="24"/>
          <w:lang w:eastAsia="zh-HK"/>
        </w:rPr>
        <w:t xml:space="preserve"> hotel and entertainment operations</w:t>
      </w:r>
      <w:r w:rsidR="008046D1">
        <w:rPr>
          <w:rFonts w:ascii="Calibri" w:hAnsi="Calibri" w:hint="eastAsia"/>
          <w:sz w:val="24"/>
          <w:szCs w:val="24"/>
          <w:lang w:eastAsia="zh-HK"/>
        </w:rPr>
        <w:t>.</w:t>
      </w:r>
    </w:p>
    <w:p w:rsidR="00693EBD" w:rsidRPr="001A2B71" w:rsidRDefault="00693EBD" w:rsidP="001A2B71">
      <w:pPr>
        <w:jc w:val="both"/>
        <w:rPr>
          <w:rFonts w:ascii="Calibri" w:hAnsi="Calibri" w:cs="Helvetica"/>
          <w:position w:val="4"/>
          <w:lang w:eastAsia="zh-HK"/>
        </w:rPr>
      </w:pPr>
    </w:p>
    <w:p w:rsidR="00693EBD" w:rsidRPr="00086549" w:rsidRDefault="00230B2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>In</w:t>
      </w:r>
      <w:r w:rsidR="00693EBD" w:rsidRPr="00DC128C"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 xml:space="preserve"> 2015, </w:t>
      </w:r>
      <w:r w:rsidR="00FD048C">
        <w:rPr>
          <w:rFonts w:ascii="Calibri" w:eastAsiaTheme="minorEastAsia" w:hAnsi="Calibri" w:cs="Helvetica" w:hint="eastAsia"/>
          <w:position w:val="4"/>
          <w:sz w:val="24"/>
          <w:szCs w:val="24"/>
          <w:lang w:eastAsia="zh-HK"/>
        </w:rPr>
        <w:t xml:space="preserve">the Group </w:t>
      </w:r>
      <w:r w:rsidR="00693EBD" w:rsidRPr="00DC128C"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>established Get Nice Real Estate Limited, engaged in real estate broking service.</w:t>
      </w:r>
    </w:p>
    <w:p w:rsidR="00086549" w:rsidRDefault="00086549" w:rsidP="00086549">
      <w:pPr>
        <w:pStyle w:val="a3"/>
        <w:rPr>
          <w:rFonts w:ascii="Calibri" w:eastAsia="Helvetica" w:hAnsi="Calibri" w:cs="Helvetica"/>
          <w:position w:val="4"/>
        </w:rPr>
      </w:pPr>
    </w:p>
    <w:p w:rsidR="00086549" w:rsidRPr="00D65718" w:rsidRDefault="00086549" w:rsidP="00501A84">
      <w:pPr>
        <w:pStyle w:val="Body"/>
        <w:numPr>
          <w:ilvl w:val="0"/>
          <w:numId w:val="19"/>
        </w:numPr>
        <w:jc w:val="both"/>
        <w:rPr>
          <w:rFonts w:ascii="Calibri" w:eastAsia="Helvetica" w:hAnsi="Calibri" w:cs="Helvetica"/>
          <w:position w:val="4"/>
          <w:sz w:val="24"/>
          <w:szCs w:val="24"/>
        </w:rPr>
      </w:pPr>
      <w:r>
        <w:rPr>
          <w:rFonts w:ascii="Calibri" w:eastAsiaTheme="minorEastAsia" w:hAnsi="Calibri" w:cs="Helvetica" w:hint="eastAsia"/>
          <w:position w:val="4"/>
          <w:sz w:val="24"/>
          <w:szCs w:val="24"/>
          <w:lang w:eastAsia="zh-HK"/>
        </w:rPr>
        <w:t>In 2015, the Group acquired a retail shop in western district on Hong Kong Island for investment purpose.</w:t>
      </w:r>
    </w:p>
    <w:p w:rsidR="009660A0" w:rsidRDefault="009660A0">
      <w:pPr>
        <w:pStyle w:val="a3"/>
        <w:rPr>
          <w:rFonts w:ascii="Calibri" w:eastAsiaTheme="minorEastAsia" w:hAnsi="Calibri" w:cs="Helvetica"/>
          <w:position w:val="4"/>
          <w:lang w:eastAsia="zh-HK"/>
        </w:rPr>
      </w:pPr>
    </w:p>
    <w:p w:rsidR="00086549" w:rsidRPr="00086549" w:rsidRDefault="00086549">
      <w:pPr>
        <w:pStyle w:val="a3"/>
        <w:rPr>
          <w:rFonts w:ascii="Calibri" w:eastAsiaTheme="minorEastAsia" w:hAnsi="Calibri" w:cs="Helvetica"/>
          <w:position w:val="4"/>
          <w:lang w:eastAsia="zh-HK"/>
        </w:rPr>
      </w:pPr>
    </w:p>
    <w:p w:rsidR="00D65718" w:rsidRDefault="00D65718" w:rsidP="00501A84">
      <w:pPr>
        <w:pStyle w:val="Body"/>
        <w:numPr>
          <w:ilvl w:val="0"/>
          <w:numId w:val="19"/>
        </w:numPr>
        <w:jc w:val="both"/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</w:pPr>
      <w:r>
        <w:rPr>
          <w:rFonts w:ascii="Calibri" w:eastAsiaTheme="minorEastAsia" w:hAnsi="Calibri" w:cs="Helvetica" w:hint="eastAsia"/>
          <w:position w:val="4"/>
          <w:sz w:val="24"/>
          <w:szCs w:val="24"/>
          <w:lang w:eastAsia="zh-HK"/>
        </w:rPr>
        <w:lastRenderedPageBreak/>
        <w:t xml:space="preserve">In 2016, </w:t>
      </w:r>
      <w:r w:rsidR="00FD048C">
        <w:rPr>
          <w:rFonts w:ascii="Calibri" w:eastAsiaTheme="minorEastAsia" w:hAnsi="Calibri" w:cs="Helvetica" w:hint="eastAsia"/>
          <w:position w:val="4"/>
          <w:sz w:val="24"/>
          <w:szCs w:val="24"/>
          <w:lang w:eastAsia="zh-HK"/>
        </w:rPr>
        <w:t>the Group</w:t>
      </w:r>
      <w:r w:rsidR="00317360" w:rsidRPr="00317360"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 xml:space="preserve"> succes</w:t>
      </w:r>
      <w:r w:rsidR="00FD048C"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>sfully spin-off Get Nice Financ</w:t>
      </w:r>
      <w:r w:rsidR="00FD048C">
        <w:rPr>
          <w:rFonts w:ascii="Calibri" w:eastAsiaTheme="minorEastAsia" w:hAnsi="Calibri" w:cs="Helvetica" w:hint="eastAsia"/>
          <w:position w:val="4"/>
          <w:sz w:val="24"/>
          <w:szCs w:val="24"/>
          <w:lang w:eastAsia="zh-HK"/>
        </w:rPr>
        <w:t>ial</w:t>
      </w:r>
      <w:r w:rsidR="00317360" w:rsidRPr="00317360"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 xml:space="preserve"> Group Limited (“GNFG”, Stock code:   ) to list on the Main Board of </w:t>
      </w:r>
      <w:proofErr w:type="spellStart"/>
      <w:r w:rsidR="00317360" w:rsidRPr="00317360"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  <w:t>H</w:t>
      </w:r>
      <w:r w:rsidR="00702072">
        <w:rPr>
          <w:rFonts w:ascii="Calibri" w:eastAsiaTheme="minorEastAsia" w:hAnsi="Calibri" w:cs="Helvetica" w:hint="eastAsia"/>
          <w:position w:val="4"/>
          <w:sz w:val="24"/>
          <w:szCs w:val="24"/>
          <w:lang w:eastAsia="zh-HK"/>
        </w:rPr>
        <w:t>KEx</w:t>
      </w:r>
      <w:proofErr w:type="spellEnd"/>
    </w:p>
    <w:p w:rsidR="00086549" w:rsidRDefault="00086549" w:rsidP="00086549">
      <w:pPr>
        <w:pStyle w:val="a3"/>
        <w:rPr>
          <w:rFonts w:ascii="Calibri" w:eastAsiaTheme="minorEastAsia" w:hAnsi="Calibri" w:cs="Helvetica"/>
          <w:position w:val="4"/>
          <w:lang w:eastAsia="zh-HK"/>
        </w:rPr>
      </w:pPr>
    </w:p>
    <w:p w:rsidR="00086549" w:rsidRPr="00D65718" w:rsidRDefault="00086549" w:rsidP="00086549">
      <w:pPr>
        <w:pStyle w:val="Body"/>
        <w:ind w:left="480"/>
        <w:jc w:val="both"/>
        <w:rPr>
          <w:rFonts w:ascii="Calibri" w:eastAsiaTheme="minorEastAsia" w:hAnsi="Calibri" w:cs="Helvetica"/>
          <w:position w:val="4"/>
          <w:sz w:val="24"/>
          <w:szCs w:val="24"/>
          <w:lang w:eastAsia="zh-HK"/>
        </w:rPr>
      </w:pPr>
    </w:p>
    <w:p w:rsidR="00693EBD" w:rsidRPr="007175F8" w:rsidRDefault="00693EBD" w:rsidP="007175F8">
      <w:pPr>
        <w:widowControl/>
        <w:rPr>
          <w:lang w:eastAsia="zh-HK"/>
        </w:rPr>
      </w:pPr>
      <w:r w:rsidRPr="009B0E41">
        <w:rPr>
          <w:rFonts w:hint="eastAsia"/>
          <w:b/>
          <w:lang w:eastAsia="zh-HK"/>
        </w:rPr>
        <w:t>Our Business</w:t>
      </w:r>
    </w:p>
    <w:p w:rsidR="00934CFC" w:rsidRDefault="00934CFC" w:rsidP="00CB13F3">
      <w:pPr>
        <w:jc w:val="both"/>
        <w:rPr>
          <w:b/>
          <w:u w:val="single"/>
          <w:lang w:eastAsia="zh-HK"/>
        </w:rPr>
      </w:pPr>
    </w:p>
    <w:p w:rsidR="00CB13F3" w:rsidRPr="009B0E41" w:rsidRDefault="00086549" w:rsidP="00CB13F3">
      <w:pPr>
        <w:jc w:val="both"/>
        <w:rPr>
          <w:b/>
          <w:u w:val="single"/>
          <w:lang w:eastAsia="zh-HK"/>
        </w:rPr>
      </w:pPr>
      <w:r>
        <w:rPr>
          <w:rFonts w:hint="eastAsia"/>
          <w:b/>
          <w:u w:val="single"/>
          <w:lang w:eastAsia="zh-HK"/>
        </w:rPr>
        <w:t>Money Lending</w:t>
      </w:r>
      <w:r w:rsidR="00693EBD" w:rsidRPr="009B0E41">
        <w:rPr>
          <w:rFonts w:hint="eastAsia"/>
          <w:b/>
          <w:u w:val="single"/>
          <w:lang w:eastAsia="zh-HK"/>
        </w:rPr>
        <w:t xml:space="preserve"> Service</w:t>
      </w:r>
    </w:p>
    <w:p w:rsidR="00693EBD" w:rsidRDefault="008137B7" w:rsidP="00CB13F3">
      <w:pPr>
        <w:jc w:val="both"/>
        <w:rPr>
          <w:lang w:eastAsia="zh-HK"/>
        </w:rPr>
      </w:pPr>
      <w:r>
        <w:rPr>
          <w:rFonts w:hint="eastAsia"/>
          <w:lang w:eastAsia="zh-HK"/>
        </w:rPr>
        <w:t>We provide money lend</w:t>
      </w:r>
      <w:r w:rsidR="00086549">
        <w:rPr>
          <w:rFonts w:hint="eastAsia"/>
          <w:lang w:eastAsia="zh-HK"/>
        </w:rPr>
        <w:t>ing</w:t>
      </w:r>
      <w:r>
        <w:rPr>
          <w:rFonts w:hint="eastAsia"/>
          <w:lang w:eastAsia="zh-HK"/>
        </w:rPr>
        <w:t xml:space="preserve"> business through our wholly owned subsidiary, Get Nice Finance</w:t>
      </w:r>
      <w:r w:rsidR="00934CFC">
        <w:rPr>
          <w:rFonts w:hint="eastAsia"/>
          <w:lang w:eastAsia="zh-HK"/>
        </w:rPr>
        <w:t xml:space="preserve"> Company</w:t>
      </w:r>
      <w:r>
        <w:rPr>
          <w:rFonts w:hint="eastAsia"/>
          <w:lang w:eastAsia="zh-HK"/>
        </w:rPr>
        <w:t xml:space="preserve"> Limited</w:t>
      </w:r>
      <w:r w:rsidR="00996E4E">
        <w:rPr>
          <w:rFonts w:hint="eastAsia"/>
          <w:lang w:eastAsia="zh-HK"/>
        </w:rPr>
        <w:t xml:space="preserve"> (</w:t>
      </w:r>
      <w:r w:rsidR="00996E4E">
        <w:rPr>
          <w:lang w:eastAsia="zh-HK"/>
        </w:rPr>
        <w:t>“</w:t>
      </w:r>
      <w:r w:rsidR="00996E4E">
        <w:rPr>
          <w:rFonts w:hint="eastAsia"/>
          <w:lang w:eastAsia="zh-HK"/>
        </w:rPr>
        <w:t>GNF</w:t>
      </w:r>
      <w:r w:rsidR="00996E4E">
        <w:rPr>
          <w:lang w:eastAsia="zh-HK"/>
        </w:rPr>
        <w:t>”</w:t>
      </w:r>
      <w:r w:rsidR="00996E4E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. Found in 1990</w:t>
      </w:r>
      <w:r w:rsidR="00996E4E">
        <w:rPr>
          <w:rFonts w:hint="eastAsia"/>
          <w:lang w:eastAsia="zh-HK"/>
        </w:rPr>
        <w:t>, GNF</w:t>
      </w:r>
      <w:r w:rsidR="00996E4E" w:rsidRPr="00996E4E">
        <w:rPr>
          <w:lang w:eastAsia="zh-HK"/>
        </w:rPr>
        <w:t xml:space="preserve"> provides a diversified portfolio of mortgage solutions to deliver a capital lending platform for</w:t>
      </w:r>
      <w:r w:rsidR="00996E4E">
        <w:rPr>
          <w:rFonts w:hint="eastAsia"/>
          <w:lang w:eastAsia="zh-HK"/>
        </w:rPr>
        <w:t xml:space="preserve"> all types of</w:t>
      </w:r>
      <w:r w:rsidR="00996E4E" w:rsidRPr="00996E4E">
        <w:rPr>
          <w:lang w:eastAsia="zh-HK"/>
        </w:rPr>
        <w:t xml:space="preserve"> businesses and</w:t>
      </w:r>
      <w:r w:rsidR="00934CFC">
        <w:rPr>
          <w:rFonts w:hint="eastAsia"/>
          <w:lang w:eastAsia="zh-HK"/>
        </w:rPr>
        <w:t xml:space="preserve"> professionals</w:t>
      </w:r>
      <w:r w:rsidR="00996E4E" w:rsidRPr="00996E4E">
        <w:rPr>
          <w:lang w:eastAsia="zh-HK"/>
        </w:rPr>
        <w:t xml:space="preserve"> of all backgrounds</w:t>
      </w:r>
      <w:r w:rsidR="00996E4E">
        <w:rPr>
          <w:rFonts w:hint="eastAsia"/>
          <w:lang w:eastAsia="zh-HK"/>
        </w:rPr>
        <w:t>.</w:t>
      </w:r>
      <w:r w:rsidR="00AB17CB">
        <w:rPr>
          <w:rFonts w:hint="eastAsia"/>
          <w:lang w:eastAsia="zh-HK"/>
        </w:rPr>
        <w:t xml:space="preserve"> We </w:t>
      </w:r>
      <w:r w:rsidR="00AB17CB">
        <w:rPr>
          <w:lang w:eastAsia="zh-HK"/>
        </w:rPr>
        <w:t>provide</w:t>
      </w:r>
      <w:r w:rsidR="00AB17CB">
        <w:rPr>
          <w:rFonts w:hint="eastAsia"/>
          <w:lang w:eastAsia="zh-HK"/>
        </w:rPr>
        <w:t xml:space="preserve"> properties first and second mortgage financing, personal loan for professionals and </w:t>
      </w:r>
      <w:r w:rsidR="00FD048C">
        <w:rPr>
          <w:rFonts w:hint="eastAsia"/>
          <w:lang w:eastAsia="zh-HK"/>
        </w:rPr>
        <w:t>SME corporate</w:t>
      </w:r>
      <w:r w:rsidR="00AB17CB" w:rsidRPr="00AB17CB">
        <w:rPr>
          <w:lang w:eastAsia="zh-HK"/>
        </w:rPr>
        <w:t xml:space="preserve"> </w:t>
      </w:r>
      <w:r w:rsidR="00AB17CB">
        <w:rPr>
          <w:rFonts w:hint="eastAsia"/>
          <w:lang w:eastAsia="zh-HK"/>
        </w:rPr>
        <w:t>l</w:t>
      </w:r>
      <w:r w:rsidR="00AB17CB" w:rsidRPr="00AB17CB">
        <w:rPr>
          <w:lang w:eastAsia="zh-HK"/>
        </w:rPr>
        <w:t>oan</w:t>
      </w:r>
      <w:r w:rsidR="00AB17CB">
        <w:rPr>
          <w:rFonts w:hint="eastAsia"/>
          <w:lang w:eastAsia="zh-HK"/>
        </w:rPr>
        <w:t>.</w:t>
      </w:r>
      <w:r w:rsidR="00996E4E">
        <w:rPr>
          <w:rFonts w:hint="eastAsia"/>
          <w:lang w:eastAsia="zh-HK"/>
        </w:rPr>
        <w:t xml:space="preserve"> For more information please refer to </w:t>
      </w:r>
      <w:r w:rsidR="00501A84">
        <w:rPr>
          <w:rFonts w:hint="eastAsia"/>
          <w:lang w:eastAsia="zh-HK"/>
        </w:rPr>
        <w:t>the web</w:t>
      </w:r>
      <w:r w:rsidR="00996E4E">
        <w:rPr>
          <w:rFonts w:hint="eastAsia"/>
          <w:lang w:eastAsia="zh-HK"/>
        </w:rPr>
        <w:t xml:space="preserve">site: </w:t>
      </w:r>
      <w:hyperlink r:id="rId8" w:history="1">
        <w:r w:rsidR="00B47D4B" w:rsidRPr="0024550C">
          <w:rPr>
            <w:rStyle w:val="a4"/>
            <w:rFonts w:hint="eastAsia"/>
            <w:lang w:eastAsia="zh-HK"/>
          </w:rPr>
          <w:t>www.gn-finance.com.hk</w:t>
        </w:r>
      </w:hyperlink>
    </w:p>
    <w:p w:rsidR="00501A84" w:rsidRPr="00B47D4B" w:rsidRDefault="00501A84" w:rsidP="00CB13F3">
      <w:pPr>
        <w:jc w:val="both"/>
        <w:rPr>
          <w:lang w:eastAsia="zh-HK"/>
        </w:rPr>
      </w:pPr>
    </w:p>
    <w:p w:rsidR="00501A84" w:rsidRPr="009B0E41" w:rsidRDefault="00501A84" w:rsidP="00CB13F3">
      <w:pPr>
        <w:jc w:val="both"/>
        <w:rPr>
          <w:rFonts w:ascii="Calibri" w:hAnsi="Calibri"/>
          <w:b/>
          <w:u w:val="single"/>
          <w:lang w:eastAsia="zh-HK"/>
        </w:rPr>
      </w:pPr>
      <w:r w:rsidRPr="009B0E41">
        <w:rPr>
          <w:rFonts w:ascii="Calibri" w:hAnsi="Calibri" w:hint="eastAsia"/>
          <w:b/>
          <w:u w:val="single"/>
          <w:lang w:eastAsia="zh-HK"/>
        </w:rPr>
        <w:t>P</w:t>
      </w:r>
      <w:r w:rsidRPr="009B0E41">
        <w:rPr>
          <w:rFonts w:ascii="Calibri" w:hAnsi="Calibri"/>
          <w:b/>
          <w:u w:val="single"/>
          <w:lang w:eastAsia="zh-HK"/>
        </w:rPr>
        <w:t xml:space="preserve">roperties </w:t>
      </w:r>
      <w:r w:rsidRPr="009B0E41">
        <w:rPr>
          <w:rFonts w:ascii="Calibri" w:hAnsi="Calibri" w:hint="eastAsia"/>
          <w:b/>
          <w:u w:val="single"/>
          <w:lang w:eastAsia="zh-HK"/>
        </w:rPr>
        <w:t>I</w:t>
      </w:r>
      <w:r w:rsidRPr="009B0E41">
        <w:rPr>
          <w:rFonts w:ascii="Calibri" w:hAnsi="Calibri"/>
          <w:b/>
          <w:u w:val="single"/>
          <w:lang w:eastAsia="zh-HK"/>
        </w:rPr>
        <w:t xml:space="preserve">nvestment &amp; </w:t>
      </w:r>
      <w:r w:rsidRPr="009B0E41">
        <w:rPr>
          <w:rFonts w:ascii="Calibri" w:hAnsi="Calibri" w:hint="eastAsia"/>
          <w:b/>
          <w:u w:val="single"/>
          <w:lang w:eastAsia="zh-HK"/>
        </w:rPr>
        <w:t>D</w:t>
      </w:r>
      <w:r w:rsidRPr="009B0E41">
        <w:rPr>
          <w:rFonts w:ascii="Calibri" w:hAnsi="Calibri"/>
          <w:b/>
          <w:u w:val="single"/>
          <w:lang w:eastAsia="zh-HK"/>
        </w:rPr>
        <w:t>evelopment</w:t>
      </w:r>
    </w:p>
    <w:p w:rsidR="00D65718" w:rsidRDefault="00D65718" w:rsidP="00D65718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We are looking for properties and/or direct investment </w:t>
      </w:r>
      <w:r>
        <w:rPr>
          <w:lang w:eastAsia="zh-HK"/>
        </w:rPr>
        <w:t>opportunities</w:t>
      </w:r>
      <w:r>
        <w:rPr>
          <w:rFonts w:hint="eastAsia"/>
          <w:lang w:eastAsia="zh-HK"/>
        </w:rPr>
        <w:t>, to bring fair returns and profits that contribute to our shareholders.</w:t>
      </w:r>
    </w:p>
    <w:p w:rsidR="00D65718" w:rsidRDefault="00D65718" w:rsidP="00CB13F3">
      <w:pPr>
        <w:jc w:val="both"/>
        <w:rPr>
          <w:lang w:eastAsia="zh-HK"/>
        </w:rPr>
      </w:pPr>
    </w:p>
    <w:p w:rsidR="00501A84" w:rsidRDefault="00821382" w:rsidP="00CB13F3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We commenced property investment &amp; development in </w:t>
      </w:r>
      <w:proofErr w:type="gramStart"/>
      <w:r>
        <w:rPr>
          <w:rFonts w:hint="eastAsia"/>
          <w:lang w:eastAsia="zh-HK"/>
        </w:rPr>
        <w:t>1993,</w:t>
      </w:r>
      <w:proofErr w:type="gramEnd"/>
      <w:r>
        <w:rPr>
          <w:rFonts w:hint="eastAsia"/>
          <w:lang w:eastAsia="zh-HK"/>
        </w:rPr>
        <w:t xml:space="preserve"> </w:t>
      </w:r>
      <w:r w:rsidR="00821E10">
        <w:rPr>
          <w:rFonts w:hint="eastAsia"/>
          <w:lang w:eastAsia="zh-HK"/>
        </w:rPr>
        <w:t xml:space="preserve">we mainly focus in </w:t>
      </w:r>
      <w:r w:rsidR="00821E10">
        <w:rPr>
          <w:lang w:eastAsia="zh-HK"/>
        </w:rPr>
        <w:t>commercial</w:t>
      </w:r>
      <w:r w:rsidR="00821E10">
        <w:rPr>
          <w:rFonts w:hint="eastAsia"/>
          <w:lang w:eastAsia="zh-HK"/>
        </w:rPr>
        <w:t xml:space="preserve"> shops and residential properties investments. </w:t>
      </w:r>
      <w:r w:rsidR="00AB17CB">
        <w:rPr>
          <w:rFonts w:hint="eastAsia"/>
          <w:lang w:eastAsia="zh-HK"/>
        </w:rPr>
        <w:t xml:space="preserve">We </w:t>
      </w:r>
      <w:r w:rsidR="00FD048C">
        <w:rPr>
          <w:rFonts w:hint="eastAsia"/>
          <w:lang w:eastAsia="zh-HK"/>
        </w:rPr>
        <w:t xml:space="preserve">currently </w:t>
      </w:r>
      <w:r w:rsidR="00AB17CB">
        <w:rPr>
          <w:rFonts w:hint="eastAsia"/>
          <w:lang w:eastAsia="zh-HK"/>
        </w:rPr>
        <w:t xml:space="preserve">own an industrial property </w:t>
      </w:r>
      <w:r w:rsidR="00AB17CB">
        <w:rPr>
          <w:lang w:eastAsia="zh-HK"/>
        </w:rPr>
        <w:t xml:space="preserve">in </w:t>
      </w:r>
      <w:proofErr w:type="spellStart"/>
      <w:r w:rsidR="00AB17CB">
        <w:rPr>
          <w:lang w:eastAsia="zh-HK"/>
        </w:rPr>
        <w:t>Sheung</w:t>
      </w:r>
      <w:proofErr w:type="spellEnd"/>
      <w:r w:rsidR="00AB17CB">
        <w:rPr>
          <w:lang w:eastAsia="zh-HK"/>
        </w:rPr>
        <w:t xml:space="preserve"> </w:t>
      </w:r>
      <w:proofErr w:type="spellStart"/>
      <w:r w:rsidR="00AB17CB">
        <w:rPr>
          <w:lang w:eastAsia="zh-HK"/>
        </w:rPr>
        <w:t>Sha</w:t>
      </w:r>
      <w:proofErr w:type="spellEnd"/>
      <w:r w:rsidR="00AB17CB">
        <w:rPr>
          <w:lang w:eastAsia="zh-HK"/>
        </w:rPr>
        <w:t xml:space="preserve"> Wan</w:t>
      </w:r>
      <w:r w:rsidR="00AB17CB">
        <w:rPr>
          <w:rFonts w:hint="eastAsia"/>
          <w:lang w:eastAsia="zh-HK"/>
        </w:rPr>
        <w:t xml:space="preserve"> and </w:t>
      </w:r>
      <w:r w:rsidR="00FD048C">
        <w:rPr>
          <w:rFonts w:hint="eastAsia"/>
          <w:lang w:eastAsia="zh-HK"/>
        </w:rPr>
        <w:t xml:space="preserve">a </w:t>
      </w:r>
      <w:r w:rsidR="00AB17CB">
        <w:rPr>
          <w:rFonts w:hint="eastAsia"/>
          <w:lang w:eastAsia="zh-HK"/>
        </w:rPr>
        <w:t>residential property</w:t>
      </w:r>
      <w:r w:rsidR="00821E10">
        <w:rPr>
          <w:rFonts w:hint="eastAsia"/>
          <w:lang w:eastAsia="zh-HK"/>
        </w:rPr>
        <w:t xml:space="preserve"> </w:t>
      </w:r>
      <w:r w:rsidR="00AB17CB">
        <w:rPr>
          <w:rFonts w:hint="eastAsia"/>
          <w:lang w:eastAsia="zh-HK"/>
        </w:rPr>
        <w:t>in Hong Kong Island for investment purpose.</w:t>
      </w:r>
      <w:r w:rsidR="00FD048C" w:rsidRPr="00FD048C">
        <w:t xml:space="preserve"> </w:t>
      </w:r>
      <w:r w:rsidR="00FD048C">
        <w:t>In 200</w:t>
      </w:r>
      <w:r w:rsidR="00FD048C">
        <w:rPr>
          <w:rFonts w:hint="eastAsia"/>
          <w:lang w:eastAsia="zh-HK"/>
        </w:rPr>
        <w:t>6</w:t>
      </w:r>
      <w:r w:rsidR="00FD048C">
        <w:t xml:space="preserve">, </w:t>
      </w:r>
      <w:r w:rsidR="00FD048C">
        <w:rPr>
          <w:rFonts w:hint="eastAsia"/>
          <w:lang w:eastAsia="zh-HK"/>
        </w:rPr>
        <w:t>we</w:t>
      </w:r>
      <w:r w:rsidR="00FD048C">
        <w:t xml:space="preserve"> acquired </w:t>
      </w:r>
      <w:r w:rsidR="00FD048C">
        <w:rPr>
          <w:rFonts w:hint="eastAsia"/>
          <w:lang w:eastAsia="zh-HK"/>
        </w:rPr>
        <w:t>2</w:t>
      </w:r>
      <w:r w:rsidR="00FD048C">
        <w:t>5% property interest in Macau</w:t>
      </w:r>
      <w:r w:rsidR="00FD048C">
        <w:rPr>
          <w:rFonts w:ascii="Arial Unicode MS" w:hAnsi="Helvetica"/>
        </w:rPr>
        <w:t>’</w:t>
      </w:r>
      <w:r w:rsidR="00FD048C">
        <w:t>s Grand Waldo Comple</w:t>
      </w:r>
      <w:r w:rsidR="00FD048C">
        <w:rPr>
          <w:rFonts w:hint="eastAsia"/>
          <w:lang w:eastAsia="zh-HK"/>
        </w:rPr>
        <w:t xml:space="preserve">x and </w:t>
      </w:r>
      <w:r w:rsidR="00FD048C">
        <w:t>further acquired to 65%</w:t>
      </w:r>
      <w:r w:rsidR="00FD048C">
        <w:rPr>
          <w:rFonts w:hint="eastAsia"/>
          <w:lang w:eastAsia="zh-HK"/>
        </w:rPr>
        <w:t xml:space="preserve"> in 2010. In 2013 we disposed all interest in Macau</w:t>
      </w:r>
      <w:r w:rsidR="00FD048C">
        <w:rPr>
          <w:lang w:eastAsia="zh-HK"/>
        </w:rPr>
        <w:t>’</w:t>
      </w:r>
      <w:r w:rsidR="00FD048C">
        <w:rPr>
          <w:rFonts w:hint="eastAsia"/>
          <w:lang w:eastAsia="zh-HK"/>
        </w:rPr>
        <w:t>s Grand Waldo Complex to</w:t>
      </w:r>
      <w:r w:rsidR="00FD048C" w:rsidRPr="007C3EC1">
        <w:rPr>
          <w:rFonts w:ascii="Arial" w:hAnsi="Arial" w:cs="Arial"/>
          <w:sz w:val="20"/>
          <w:szCs w:val="20"/>
        </w:rPr>
        <w:t xml:space="preserve"> </w:t>
      </w:r>
      <w:r w:rsidR="00FD048C" w:rsidRPr="007C3EC1">
        <w:t>G</w:t>
      </w:r>
      <w:r w:rsidR="00FD048C">
        <w:rPr>
          <w:rFonts w:hint="eastAsia"/>
          <w:lang w:eastAsia="zh-HK"/>
        </w:rPr>
        <w:t xml:space="preserve">alaxy </w:t>
      </w:r>
      <w:r w:rsidR="00FD048C">
        <w:rPr>
          <w:lang w:eastAsia="zh-HK"/>
        </w:rPr>
        <w:t>Entertainment</w:t>
      </w:r>
      <w:r w:rsidR="00FD048C">
        <w:rPr>
          <w:rFonts w:hint="eastAsia"/>
          <w:lang w:eastAsia="zh-HK"/>
        </w:rPr>
        <w:t xml:space="preserve"> Group Limited</w:t>
      </w:r>
      <w:r w:rsidR="00FD048C">
        <w:rPr>
          <w:rFonts w:hint="eastAsia"/>
        </w:rPr>
        <w:t xml:space="preserve">. </w:t>
      </w:r>
      <w:r w:rsidR="00FD048C">
        <w:rPr>
          <w:rFonts w:hint="eastAsia"/>
          <w:lang w:eastAsia="zh-HK"/>
        </w:rPr>
        <w:t xml:space="preserve">For detail please refer to the </w:t>
      </w:r>
      <w:r w:rsidR="00FD048C">
        <w:rPr>
          <w:lang w:eastAsia="zh-HK"/>
        </w:rPr>
        <w:t>announcement</w:t>
      </w:r>
      <w:r w:rsidR="00FD048C">
        <w:rPr>
          <w:rFonts w:hint="eastAsia"/>
          <w:lang w:eastAsia="zh-HK"/>
        </w:rPr>
        <w:t xml:space="preserve"> on 5 May 2013.</w:t>
      </w:r>
      <w:r w:rsidR="00AB17CB">
        <w:rPr>
          <w:rFonts w:hint="eastAsia"/>
          <w:lang w:eastAsia="zh-HK"/>
        </w:rPr>
        <w:t xml:space="preserve"> </w:t>
      </w:r>
      <w:r w:rsidR="007C3EC1">
        <w:rPr>
          <w:rFonts w:hint="eastAsia"/>
          <w:lang w:eastAsia="zh-HK"/>
        </w:rPr>
        <w:t xml:space="preserve">In December 2015, we also acquired a retail shop in western district on Hong Kong Island for </w:t>
      </w:r>
      <w:r w:rsidR="00FD048C">
        <w:rPr>
          <w:rFonts w:hint="eastAsia"/>
          <w:lang w:eastAsia="zh-HK"/>
        </w:rPr>
        <w:t xml:space="preserve">expansion of the </w:t>
      </w:r>
      <w:r w:rsidR="00FD048C">
        <w:rPr>
          <w:lang w:eastAsia="zh-HK"/>
        </w:rPr>
        <w:t>portfolio</w:t>
      </w:r>
      <w:r w:rsidR="007C3EC1">
        <w:rPr>
          <w:rFonts w:hint="eastAsia"/>
          <w:lang w:eastAsia="zh-HK"/>
        </w:rPr>
        <w:t xml:space="preserve">. </w:t>
      </w:r>
      <w:r w:rsidR="00821E10">
        <w:rPr>
          <w:rFonts w:hint="eastAsia"/>
          <w:lang w:eastAsia="zh-HK"/>
        </w:rPr>
        <w:t xml:space="preserve">For property development, </w:t>
      </w:r>
      <w:r w:rsidR="007805BE">
        <w:rPr>
          <w:rFonts w:hint="eastAsia"/>
          <w:lang w:eastAsia="zh-HK"/>
        </w:rPr>
        <w:t xml:space="preserve">we purchased a land situated at Kowloon for redevelopment </w:t>
      </w:r>
      <w:r w:rsidR="00821E10">
        <w:rPr>
          <w:rFonts w:hint="eastAsia"/>
          <w:lang w:eastAsia="zh-HK"/>
        </w:rPr>
        <w:t xml:space="preserve">in 2006 </w:t>
      </w:r>
      <w:r w:rsidR="007805BE">
        <w:rPr>
          <w:rFonts w:hint="eastAsia"/>
          <w:lang w:eastAsia="zh-HK"/>
        </w:rPr>
        <w:t>and sold in 2007/2008 financial year.</w:t>
      </w:r>
      <w:r w:rsidR="00821E10">
        <w:rPr>
          <w:rFonts w:hint="eastAsia"/>
          <w:lang w:eastAsia="zh-HK"/>
        </w:rPr>
        <w:t xml:space="preserve"> </w:t>
      </w:r>
      <w:r w:rsidR="00B6301A">
        <w:rPr>
          <w:rFonts w:hint="eastAsia"/>
          <w:lang w:eastAsia="zh-HK"/>
        </w:rPr>
        <w:t xml:space="preserve"> </w:t>
      </w:r>
    </w:p>
    <w:p w:rsidR="00FD048C" w:rsidRDefault="00FD048C" w:rsidP="00CB13F3">
      <w:pPr>
        <w:jc w:val="both"/>
        <w:rPr>
          <w:lang w:eastAsia="zh-HK"/>
        </w:rPr>
      </w:pPr>
    </w:p>
    <w:p w:rsidR="00A7057E" w:rsidRPr="009B0E41" w:rsidRDefault="00A7057E" w:rsidP="00A7057E">
      <w:pPr>
        <w:jc w:val="both"/>
        <w:rPr>
          <w:b/>
          <w:u w:val="single"/>
          <w:lang w:eastAsia="zh-HK"/>
        </w:rPr>
      </w:pPr>
      <w:r w:rsidRPr="009B0E41">
        <w:rPr>
          <w:rFonts w:hint="eastAsia"/>
          <w:b/>
          <w:u w:val="single"/>
          <w:lang w:eastAsia="zh-HK"/>
        </w:rPr>
        <w:t xml:space="preserve">Real Estate </w:t>
      </w:r>
      <w:r w:rsidR="000D74A8">
        <w:rPr>
          <w:rFonts w:hint="eastAsia"/>
          <w:b/>
          <w:u w:val="single"/>
          <w:lang w:eastAsia="zh-HK"/>
        </w:rPr>
        <w:t>B</w:t>
      </w:r>
      <w:r w:rsidRPr="009B0E41">
        <w:rPr>
          <w:rFonts w:hint="eastAsia"/>
          <w:b/>
          <w:u w:val="single"/>
          <w:lang w:eastAsia="zh-HK"/>
        </w:rPr>
        <w:t>roking Service</w:t>
      </w:r>
    </w:p>
    <w:p w:rsidR="00A7057E" w:rsidRDefault="00934CFC" w:rsidP="00A7057E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In December 2015, </w:t>
      </w:r>
      <w:r w:rsidR="009648F4">
        <w:rPr>
          <w:rFonts w:hint="eastAsia"/>
          <w:lang w:eastAsia="zh-HK"/>
        </w:rPr>
        <w:t>w</w:t>
      </w:r>
      <w:r w:rsidR="00A7057E">
        <w:rPr>
          <w:rFonts w:hint="eastAsia"/>
          <w:lang w:eastAsia="zh-HK"/>
        </w:rPr>
        <w:t>e</w:t>
      </w:r>
      <w:r>
        <w:rPr>
          <w:rFonts w:hint="eastAsia"/>
          <w:lang w:eastAsia="zh-HK"/>
        </w:rPr>
        <w:t xml:space="preserve"> established Get Nice Real Estate Limited</w:t>
      </w:r>
      <w:r w:rsidR="009648F4">
        <w:rPr>
          <w:rFonts w:hint="eastAsia"/>
          <w:lang w:eastAsia="zh-HK"/>
        </w:rPr>
        <w:t xml:space="preserve"> (</w:t>
      </w:r>
      <w:r w:rsidR="009648F4">
        <w:rPr>
          <w:lang w:eastAsia="zh-HK"/>
        </w:rPr>
        <w:t>“</w:t>
      </w:r>
      <w:r w:rsidR="009648F4">
        <w:rPr>
          <w:rFonts w:hint="eastAsia"/>
          <w:lang w:eastAsia="zh-HK"/>
        </w:rPr>
        <w:t>GN Real Estate) (</w:t>
      </w:r>
      <w:r w:rsidR="006D549B">
        <w:rPr>
          <w:lang w:eastAsia="zh-HK"/>
        </w:rPr>
        <w:t>license</w:t>
      </w:r>
      <w:r w:rsidR="009648F4">
        <w:rPr>
          <w:rFonts w:hint="eastAsia"/>
          <w:lang w:eastAsia="zh-HK"/>
        </w:rPr>
        <w:t xml:space="preserve"> no.:</w:t>
      </w:r>
      <w:r w:rsidR="009648F4" w:rsidRPr="009648F4">
        <w:rPr>
          <w:rFonts w:ascii="Arial" w:hAnsi="Arial" w:cs="Arial"/>
          <w:sz w:val="20"/>
          <w:szCs w:val="20"/>
        </w:rPr>
        <w:t xml:space="preserve"> </w:t>
      </w:r>
      <w:r w:rsidR="009648F4">
        <w:rPr>
          <w:rFonts w:ascii="Arial" w:hAnsi="Arial" w:cs="Arial"/>
          <w:sz w:val="20"/>
          <w:szCs w:val="20"/>
        </w:rPr>
        <w:t>C-067479</w:t>
      </w:r>
      <w:r w:rsidR="009648F4">
        <w:rPr>
          <w:rFonts w:ascii="Arial" w:hAnsi="Arial" w:cs="Arial" w:hint="eastAsia"/>
          <w:sz w:val="20"/>
          <w:szCs w:val="20"/>
          <w:lang w:eastAsia="zh-HK"/>
        </w:rPr>
        <w:t>)</w:t>
      </w:r>
      <w:r>
        <w:rPr>
          <w:rFonts w:hint="eastAsia"/>
          <w:lang w:eastAsia="zh-HK"/>
        </w:rPr>
        <w:t xml:space="preserve"> to</w:t>
      </w:r>
      <w:r w:rsidR="00A7057E">
        <w:rPr>
          <w:rFonts w:hint="eastAsia"/>
          <w:lang w:eastAsia="zh-HK"/>
        </w:rPr>
        <w:t xml:space="preserve"> provide real estate broking service.</w:t>
      </w:r>
      <w:r w:rsidR="009648F4">
        <w:rPr>
          <w:rFonts w:hint="eastAsia"/>
          <w:lang w:eastAsia="zh-HK"/>
        </w:rPr>
        <w:t xml:space="preserve"> </w:t>
      </w:r>
      <w:r w:rsidR="009648F4">
        <w:rPr>
          <w:rFonts w:hint="eastAsia"/>
          <w:lang w:eastAsia="zh-HK"/>
        </w:rPr>
        <w:lastRenderedPageBreak/>
        <w:t>GN Real Estate</w:t>
      </w:r>
      <w:r w:rsidR="00A7057E">
        <w:rPr>
          <w:rFonts w:hint="eastAsia"/>
          <w:lang w:eastAsia="zh-HK"/>
        </w:rPr>
        <w:t xml:space="preserve"> </w:t>
      </w:r>
      <w:r w:rsidR="009648F4">
        <w:t xml:space="preserve">is </w:t>
      </w:r>
      <w:r w:rsidR="00FD048C">
        <w:t xml:space="preserve">a comprehensive agency company which </w:t>
      </w:r>
      <w:r w:rsidR="00FD048C">
        <w:rPr>
          <w:lang w:eastAsia="zh-HK"/>
        </w:rPr>
        <w:t>handles</w:t>
      </w:r>
      <w:r w:rsidR="009648F4">
        <w:t xml:space="preserve"> buy-and-sell and rental transactions in both residential and commercial sectors in Hong Kong.</w:t>
      </w:r>
      <w:r w:rsidR="009648F4">
        <w:rPr>
          <w:rFonts w:hint="eastAsia"/>
          <w:lang w:eastAsia="zh-HK"/>
        </w:rPr>
        <w:t xml:space="preserve"> </w:t>
      </w:r>
      <w:r w:rsidR="00DA6BF8">
        <w:rPr>
          <w:rFonts w:hint="eastAsia"/>
          <w:lang w:eastAsia="zh-HK"/>
        </w:rPr>
        <w:t xml:space="preserve">Our branch is situated at </w:t>
      </w:r>
      <w:r w:rsidR="00DA6BF8" w:rsidRPr="00DA6BF8">
        <w:rPr>
          <w:lang w:eastAsia="zh-HK"/>
        </w:rPr>
        <w:t xml:space="preserve">Shop C, G/F., Ho </w:t>
      </w:r>
      <w:proofErr w:type="gramStart"/>
      <w:r w:rsidR="00DA6BF8" w:rsidRPr="00DA6BF8">
        <w:rPr>
          <w:lang w:eastAsia="zh-HK"/>
        </w:rPr>
        <w:t>On</w:t>
      </w:r>
      <w:proofErr w:type="gramEnd"/>
      <w:r w:rsidR="00DA6BF8" w:rsidRPr="00DA6BF8">
        <w:rPr>
          <w:lang w:eastAsia="zh-HK"/>
        </w:rPr>
        <w:t xml:space="preserve"> Mansion, 107</w:t>
      </w:r>
      <w:r w:rsidR="00DA6BF8">
        <w:rPr>
          <w:rFonts w:hint="eastAsia"/>
          <w:lang w:eastAsia="zh-HK"/>
        </w:rPr>
        <w:t>-</w:t>
      </w:r>
      <w:r w:rsidR="00DA6BF8" w:rsidRPr="00DA6BF8">
        <w:rPr>
          <w:lang w:eastAsia="zh-HK"/>
        </w:rPr>
        <w:t>109 Austin Road, Kowloon, Hong Kong</w:t>
      </w:r>
      <w:r w:rsidR="00DA6BF8" w:rsidRPr="00DA6BF8">
        <w:rPr>
          <w:rFonts w:hint="eastAsia"/>
          <w:lang w:eastAsia="zh-HK"/>
        </w:rPr>
        <w:t xml:space="preserve">. </w:t>
      </w:r>
    </w:p>
    <w:p w:rsidR="00893BDC" w:rsidRDefault="00893BDC" w:rsidP="00A7057E">
      <w:pPr>
        <w:jc w:val="both"/>
        <w:rPr>
          <w:lang w:eastAsia="zh-HK"/>
        </w:rPr>
      </w:pPr>
    </w:p>
    <w:p w:rsidR="00893BDC" w:rsidRPr="00FF02D9" w:rsidRDefault="000D74A8" w:rsidP="00893BDC">
      <w:pPr>
        <w:rPr>
          <w:b/>
          <w:u w:val="single"/>
          <w:lang w:eastAsia="zh-HK"/>
        </w:rPr>
      </w:pPr>
      <w:r>
        <w:rPr>
          <w:rFonts w:hint="eastAsia"/>
          <w:b/>
          <w:u w:val="single"/>
          <w:lang w:eastAsia="zh-HK"/>
        </w:rPr>
        <w:t>Securities Broking S</w:t>
      </w:r>
      <w:r w:rsidR="00893BDC" w:rsidRPr="00FF02D9">
        <w:rPr>
          <w:rFonts w:hint="eastAsia"/>
          <w:b/>
          <w:u w:val="single"/>
          <w:lang w:eastAsia="zh-HK"/>
        </w:rPr>
        <w:t>ervices</w:t>
      </w:r>
    </w:p>
    <w:p w:rsidR="00893BDC" w:rsidRPr="00893BDC" w:rsidRDefault="00893BDC" w:rsidP="00A7057E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We </w:t>
      </w:r>
      <w:r>
        <w:rPr>
          <w:lang w:eastAsia="zh-HK"/>
        </w:rPr>
        <w:t>provide</w:t>
      </w:r>
      <w:r>
        <w:rPr>
          <w:rFonts w:hint="eastAsia"/>
          <w:lang w:eastAsia="zh-HK"/>
        </w:rPr>
        <w:t xml:space="preserve"> a wide range of </w:t>
      </w:r>
      <w:r w:rsidR="008B0D6C">
        <w:rPr>
          <w:rFonts w:hint="eastAsia"/>
          <w:lang w:eastAsia="zh-HK"/>
        </w:rPr>
        <w:t>regulated activities under SFO</w:t>
      </w:r>
      <w:r>
        <w:rPr>
          <w:rFonts w:hint="eastAsia"/>
          <w:lang w:eastAsia="zh-HK"/>
        </w:rPr>
        <w:t xml:space="preserve"> through our subsidiar</w:t>
      </w:r>
      <w:r w:rsidR="00BF480A">
        <w:rPr>
          <w:rFonts w:hint="eastAsia"/>
          <w:lang w:eastAsia="zh-HK"/>
        </w:rPr>
        <w:t>ies</w:t>
      </w:r>
      <w:r>
        <w:rPr>
          <w:rFonts w:hint="eastAsia"/>
          <w:lang w:eastAsia="zh-HK"/>
        </w:rPr>
        <w:t>, Get Nice Financial Group Limited</w:t>
      </w:r>
      <w:r w:rsidR="00BF480A">
        <w:rPr>
          <w:rFonts w:hint="eastAsia"/>
          <w:lang w:eastAsia="zh-HK"/>
        </w:rPr>
        <w:t xml:space="preserve"> and its wholly owned subsidiaries</w:t>
      </w:r>
      <w:r>
        <w:rPr>
          <w:rFonts w:hint="eastAsia"/>
          <w:lang w:eastAsia="zh-HK"/>
        </w:rPr>
        <w:t xml:space="preserve"> (</w:t>
      </w:r>
      <w:r>
        <w:rPr>
          <w:lang w:eastAsia="zh-HK"/>
        </w:rPr>
        <w:t>“</w:t>
      </w:r>
      <w:r>
        <w:rPr>
          <w:rFonts w:hint="eastAsia"/>
          <w:lang w:eastAsia="zh-HK"/>
        </w:rPr>
        <w:t>GNFG</w:t>
      </w:r>
      <w:r>
        <w:rPr>
          <w:lang w:eastAsia="zh-HK"/>
        </w:rPr>
        <w:t>”</w:t>
      </w:r>
      <w:r>
        <w:rPr>
          <w:rFonts w:hint="eastAsia"/>
          <w:lang w:eastAsia="zh-HK"/>
        </w:rPr>
        <w:t>, Stock code:    ). GNFG</w:t>
      </w:r>
      <w:r w:rsidR="00BF480A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has been listed on the </w:t>
      </w:r>
      <w:r w:rsidRPr="008046D1">
        <w:rPr>
          <w:lang w:eastAsia="zh-HK"/>
        </w:rPr>
        <w:t xml:space="preserve">Main board of Hong Kong Stock Exchange since [    ] 2016. GNFG </w:t>
      </w:r>
      <w:r w:rsidR="00BF480A">
        <w:rPr>
          <w:rFonts w:hint="eastAsia"/>
          <w:lang w:eastAsia="zh-HK"/>
        </w:rPr>
        <w:t>and its subsidiaries</w:t>
      </w:r>
      <w:r w:rsidR="00BF480A" w:rsidRPr="008046D1">
        <w:rPr>
          <w:lang w:eastAsia="zh-HK"/>
        </w:rPr>
        <w:t xml:space="preserve"> </w:t>
      </w:r>
      <w:r w:rsidR="00BF480A">
        <w:rPr>
          <w:lang w:eastAsia="zh-HK"/>
        </w:rPr>
        <w:t>provide</w:t>
      </w:r>
      <w:r>
        <w:rPr>
          <w:rFonts w:hint="eastAsia"/>
          <w:lang w:eastAsia="zh-HK"/>
        </w:rPr>
        <w:t xml:space="preserve"> </w:t>
      </w:r>
      <w:r w:rsidRPr="008137B7">
        <w:rPr>
          <w:rFonts w:hint="eastAsia"/>
          <w:lang w:eastAsia="zh-HK"/>
        </w:rPr>
        <w:t>s</w:t>
      </w:r>
      <w:r w:rsidRPr="008137B7">
        <w:rPr>
          <w:lang w:eastAsia="zh-HK"/>
        </w:rPr>
        <w:t xml:space="preserve">ecurities and </w:t>
      </w:r>
      <w:r w:rsidRPr="008137B7">
        <w:rPr>
          <w:rFonts w:hint="eastAsia"/>
          <w:lang w:eastAsia="zh-HK"/>
        </w:rPr>
        <w:t>f</w:t>
      </w:r>
      <w:r w:rsidRPr="008137B7">
        <w:rPr>
          <w:lang w:eastAsia="zh-HK"/>
        </w:rPr>
        <w:t xml:space="preserve">utures </w:t>
      </w:r>
      <w:r w:rsidRPr="008137B7">
        <w:rPr>
          <w:rFonts w:hint="eastAsia"/>
          <w:lang w:eastAsia="zh-HK"/>
        </w:rPr>
        <w:t>b</w:t>
      </w:r>
      <w:r w:rsidRPr="008137B7">
        <w:rPr>
          <w:lang w:eastAsia="zh-HK"/>
        </w:rPr>
        <w:t xml:space="preserve">roking service, </w:t>
      </w:r>
      <w:r w:rsidRPr="008137B7">
        <w:rPr>
          <w:rFonts w:hint="eastAsia"/>
          <w:lang w:eastAsia="zh-HK"/>
        </w:rPr>
        <w:t xml:space="preserve">securities </w:t>
      </w:r>
      <w:r w:rsidRPr="008137B7">
        <w:rPr>
          <w:lang w:eastAsia="zh-HK"/>
        </w:rPr>
        <w:t>margin financing</w:t>
      </w:r>
      <w:r w:rsidRPr="008137B7">
        <w:rPr>
          <w:rFonts w:hint="eastAsia"/>
          <w:lang w:eastAsia="zh-HK"/>
        </w:rPr>
        <w:t xml:space="preserve"> service</w:t>
      </w:r>
      <w:r w:rsidRPr="008137B7">
        <w:rPr>
          <w:lang w:eastAsia="zh-HK"/>
        </w:rPr>
        <w:t>, placing and underwriting of securities, corporate finance</w:t>
      </w:r>
      <w:r w:rsidRPr="008137B7">
        <w:rPr>
          <w:rFonts w:hint="eastAsia"/>
          <w:lang w:eastAsia="zh-HK"/>
        </w:rPr>
        <w:t xml:space="preserve"> advisory service and proof of funds service. </w:t>
      </w:r>
      <w:r w:rsidRPr="008137B7">
        <w:rPr>
          <w:lang w:eastAsia="zh-HK"/>
        </w:rPr>
        <w:t>F</w:t>
      </w:r>
      <w:r w:rsidRPr="008137B7">
        <w:rPr>
          <w:rFonts w:hint="eastAsia"/>
          <w:lang w:eastAsia="zh-HK"/>
        </w:rPr>
        <w:t xml:space="preserve">or more information please refer to </w:t>
      </w:r>
      <w:r>
        <w:rPr>
          <w:rFonts w:hint="eastAsia"/>
          <w:lang w:eastAsia="zh-HK"/>
        </w:rPr>
        <w:t>the web</w:t>
      </w:r>
      <w:r w:rsidRPr="008137B7">
        <w:rPr>
          <w:rFonts w:hint="eastAsia"/>
          <w:lang w:eastAsia="zh-HK"/>
        </w:rPr>
        <w:t xml:space="preserve">site: </w:t>
      </w:r>
      <w:hyperlink r:id="rId9" w:history="1">
        <w:r w:rsidRPr="00E267AA">
          <w:rPr>
            <w:rStyle w:val="a4"/>
            <w:rFonts w:hint="eastAsia"/>
            <w:lang w:eastAsia="zh-HK"/>
          </w:rPr>
          <w:t>www.getnicefg.com.hk</w:t>
        </w:r>
      </w:hyperlink>
    </w:p>
    <w:p w:rsidR="00387A92" w:rsidRDefault="00387A92" w:rsidP="00CB13F3">
      <w:pPr>
        <w:jc w:val="both"/>
        <w:rPr>
          <w:b/>
          <w:u w:val="single"/>
          <w:lang w:eastAsia="zh-HK"/>
        </w:rPr>
      </w:pPr>
    </w:p>
    <w:p w:rsidR="009B0E41" w:rsidRPr="009434BF" w:rsidRDefault="009B0E41" w:rsidP="00CB13F3">
      <w:pPr>
        <w:jc w:val="both"/>
        <w:rPr>
          <w:b/>
          <w:u w:val="single"/>
          <w:lang w:eastAsia="zh-HK"/>
        </w:rPr>
      </w:pPr>
      <w:r w:rsidRPr="009434BF">
        <w:rPr>
          <w:rFonts w:hint="eastAsia"/>
          <w:b/>
          <w:u w:val="single"/>
          <w:lang w:eastAsia="zh-HK"/>
        </w:rPr>
        <w:t>Investor Relations</w:t>
      </w:r>
    </w:p>
    <w:p w:rsidR="009B0E41" w:rsidRDefault="009B0E41" w:rsidP="00CB13F3">
      <w:pPr>
        <w:jc w:val="both"/>
        <w:rPr>
          <w:b/>
          <w:lang w:eastAsia="zh-HK"/>
        </w:rPr>
      </w:pPr>
    </w:p>
    <w:p w:rsidR="009B0E41" w:rsidRDefault="009B0E41" w:rsidP="00CB13F3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Corporate Governance</w:t>
      </w:r>
    </w:p>
    <w:p w:rsidR="009B0E41" w:rsidRDefault="009434BF" w:rsidP="00CB13F3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Introduction</w:t>
      </w:r>
    </w:p>
    <w:p w:rsidR="009434BF" w:rsidRDefault="009434BF" w:rsidP="009434BF">
      <w:pPr>
        <w:jc w:val="both"/>
        <w:rPr>
          <w:szCs w:val="24"/>
          <w:lang w:eastAsia="zh-HK"/>
        </w:rPr>
      </w:pPr>
      <w:r w:rsidRPr="009434BF">
        <w:rPr>
          <w:szCs w:val="24"/>
        </w:rPr>
        <w:t>The Board takes shareholders’ interests as its priority in maintaining and growing a successful development of business so as to achieve consistent long-term financial returns. The Board is resp</w:t>
      </w:r>
      <w:r>
        <w:rPr>
          <w:szCs w:val="24"/>
        </w:rPr>
        <w:t>onsible for formulating the man</w:t>
      </w:r>
      <w:r w:rsidRPr="009434BF">
        <w:rPr>
          <w:szCs w:val="24"/>
        </w:rPr>
        <w:t>agement direction of Get Nice Holdings Limi</w:t>
      </w:r>
      <w:r>
        <w:rPr>
          <w:szCs w:val="24"/>
        </w:rPr>
        <w:t>ted (the “Company”) and its sub</w:t>
      </w:r>
      <w:r w:rsidRPr="009434BF">
        <w:rPr>
          <w:szCs w:val="24"/>
        </w:rPr>
        <w:t>s</w:t>
      </w:r>
      <w:r>
        <w:rPr>
          <w:rFonts w:hint="eastAsia"/>
          <w:szCs w:val="24"/>
          <w:lang w:eastAsia="zh-HK"/>
        </w:rPr>
        <w:t>i</w:t>
      </w:r>
      <w:r w:rsidRPr="009434BF">
        <w:rPr>
          <w:szCs w:val="24"/>
        </w:rPr>
        <w:t>diaries (the “Group”) and are managed in s</w:t>
      </w:r>
      <w:r>
        <w:rPr>
          <w:szCs w:val="24"/>
        </w:rPr>
        <w:t>uch a way as to achieve this ob</w:t>
      </w:r>
      <w:r w:rsidRPr="009434BF">
        <w:rPr>
          <w:szCs w:val="24"/>
        </w:rPr>
        <w:t>jective. The Board’s responsibility is, firstly, to formulate strategy of the Group and, secondly, to monitor and implement operating and financial performance in pursuit of the Group’s strategic objectives.</w:t>
      </w:r>
    </w:p>
    <w:p w:rsidR="009434BF" w:rsidRDefault="009434BF" w:rsidP="009434BF">
      <w:pPr>
        <w:jc w:val="both"/>
        <w:rPr>
          <w:szCs w:val="24"/>
          <w:lang w:eastAsia="zh-HK"/>
        </w:rPr>
      </w:pPr>
    </w:p>
    <w:p w:rsidR="009434BF" w:rsidRPr="009434BF" w:rsidRDefault="009434BF" w:rsidP="009434BF">
      <w:pPr>
        <w:jc w:val="both"/>
        <w:rPr>
          <w:b/>
          <w:szCs w:val="24"/>
          <w:lang w:eastAsia="zh-HK"/>
        </w:rPr>
      </w:pPr>
      <w:r w:rsidRPr="009434BF">
        <w:t>The Board has established an Audit Committee, Remuneration Committee</w:t>
      </w:r>
      <w:r>
        <w:rPr>
          <w:rFonts w:hint="eastAsia"/>
          <w:lang w:eastAsia="zh-HK"/>
        </w:rPr>
        <w:t xml:space="preserve"> and </w:t>
      </w:r>
      <w:r w:rsidRPr="009434BF">
        <w:t>Nomination Committee to ensure proper reporting and uphold corporate governance</w:t>
      </w:r>
    </w:p>
    <w:p w:rsidR="009434BF" w:rsidRPr="009434BF" w:rsidRDefault="009434BF" w:rsidP="00CB13F3">
      <w:pPr>
        <w:jc w:val="both"/>
        <w:rPr>
          <w:b/>
          <w:lang w:eastAsia="zh-HK"/>
        </w:rPr>
      </w:pPr>
    </w:p>
    <w:p w:rsidR="009B0E41" w:rsidRDefault="009B0E41" w:rsidP="00CB13F3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Board of Directors</w:t>
      </w:r>
    </w:p>
    <w:p w:rsidR="009B0E41" w:rsidRDefault="009B0E41" w:rsidP="00CB13F3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Hung Hon Man</w:t>
      </w:r>
    </w:p>
    <w:p w:rsidR="009B0E41" w:rsidRDefault="009B0E41" w:rsidP="00CB13F3">
      <w:pPr>
        <w:jc w:val="both"/>
        <w:rPr>
          <w:b/>
          <w:lang w:eastAsia="zh-HK"/>
        </w:rPr>
      </w:pPr>
      <w:r>
        <w:t>Executive Director and Chairman</w:t>
      </w:r>
    </w:p>
    <w:p w:rsidR="009B0E41" w:rsidRDefault="009B0E41" w:rsidP="00CB13F3">
      <w:pPr>
        <w:jc w:val="both"/>
        <w:rPr>
          <w:b/>
          <w:lang w:eastAsia="zh-HK"/>
        </w:rPr>
      </w:pPr>
    </w:p>
    <w:p w:rsidR="009B0E41" w:rsidRPr="009B0E41" w:rsidRDefault="009B0E41" w:rsidP="00CB13F3">
      <w:pPr>
        <w:jc w:val="both"/>
        <w:rPr>
          <w:b/>
          <w:lang w:eastAsia="zh-HK"/>
        </w:rPr>
      </w:pPr>
      <w:r w:rsidRPr="009B0E41">
        <w:rPr>
          <w:b/>
        </w:rPr>
        <w:t>CHAM Wai Ho, Anthony</w:t>
      </w:r>
    </w:p>
    <w:p w:rsidR="009B0E41" w:rsidRDefault="009B0E41" w:rsidP="00CB13F3">
      <w:pPr>
        <w:jc w:val="both"/>
        <w:rPr>
          <w:lang w:eastAsia="zh-HK"/>
        </w:rPr>
      </w:pPr>
      <w:r>
        <w:t>Executive Director and Vice Chairman</w:t>
      </w:r>
    </w:p>
    <w:p w:rsidR="009B0E41" w:rsidRDefault="009B0E41" w:rsidP="00CB13F3">
      <w:pPr>
        <w:jc w:val="both"/>
        <w:rPr>
          <w:lang w:eastAsia="zh-HK"/>
        </w:rPr>
      </w:pPr>
    </w:p>
    <w:p w:rsidR="009B0E41" w:rsidRPr="009B0E41" w:rsidRDefault="009B0E41" w:rsidP="00CB13F3">
      <w:pPr>
        <w:jc w:val="both"/>
        <w:rPr>
          <w:b/>
          <w:lang w:eastAsia="zh-HK"/>
        </w:rPr>
      </w:pPr>
      <w:r w:rsidRPr="009B0E41">
        <w:rPr>
          <w:b/>
        </w:rPr>
        <w:t xml:space="preserve">LUNG Hon </w:t>
      </w:r>
      <w:proofErr w:type="spellStart"/>
      <w:r w:rsidRPr="009B0E41">
        <w:rPr>
          <w:b/>
        </w:rPr>
        <w:t>Lui</w:t>
      </w:r>
      <w:proofErr w:type="spellEnd"/>
    </w:p>
    <w:p w:rsidR="009B0E41" w:rsidRDefault="009B0E41" w:rsidP="00CB13F3">
      <w:pPr>
        <w:jc w:val="both"/>
        <w:rPr>
          <w:lang w:eastAsia="zh-HK"/>
        </w:rPr>
      </w:pPr>
      <w:r>
        <w:t>Executive Director</w:t>
      </w:r>
    </w:p>
    <w:p w:rsidR="009B0E41" w:rsidRDefault="009B0E41" w:rsidP="00CB13F3">
      <w:pPr>
        <w:jc w:val="both"/>
        <w:rPr>
          <w:lang w:eastAsia="zh-HK"/>
        </w:rPr>
      </w:pPr>
    </w:p>
    <w:p w:rsidR="009B0E41" w:rsidRPr="009B0E41" w:rsidRDefault="009B0E41" w:rsidP="00CB13F3">
      <w:pPr>
        <w:jc w:val="both"/>
        <w:rPr>
          <w:b/>
          <w:lang w:eastAsia="zh-HK"/>
        </w:rPr>
      </w:pPr>
      <w:r w:rsidRPr="009B0E41">
        <w:rPr>
          <w:b/>
        </w:rPr>
        <w:t xml:space="preserve">TANG </w:t>
      </w:r>
      <w:proofErr w:type="spellStart"/>
      <w:r w:rsidRPr="009B0E41">
        <w:rPr>
          <w:b/>
        </w:rPr>
        <w:t>Nga</w:t>
      </w:r>
      <w:proofErr w:type="spellEnd"/>
      <w:r w:rsidRPr="009B0E41">
        <w:rPr>
          <w:b/>
        </w:rPr>
        <w:t xml:space="preserve"> Yan Grace</w:t>
      </w:r>
    </w:p>
    <w:p w:rsidR="009B0E41" w:rsidRDefault="009B0E41" w:rsidP="00CB13F3">
      <w:pPr>
        <w:jc w:val="both"/>
        <w:rPr>
          <w:lang w:eastAsia="zh-HK"/>
        </w:rPr>
      </w:pPr>
      <w:r>
        <w:t>Executive Director and Company Secretary</w:t>
      </w:r>
    </w:p>
    <w:p w:rsidR="009434BF" w:rsidRDefault="009434BF" w:rsidP="009434BF">
      <w:pPr>
        <w:spacing w:line="288" w:lineRule="auto"/>
        <w:rPr>
          <w:b/>
          <w:lang w:eastAsia="zh-HK"/>
        </w:rPr>
      </w:pPr>
    </w:p>
    <w:p w:rsidR="009434BF" w:rsidRPr="009B0E41" w:rsidRDefault="009434BF" w:rsidP="009434BF">
      <w:pPr>
        <w:spacing w:line="288" w:lineRule="auto"/>
        <w:rPr>
          <w:b/>
        </w:rPr>
      </w:pPr>
      <w:proofErr w:type="spellStart"/>
      <w:r w:rsidRPr="009B0E41">
        <w:rPr>
          <w:b/>
        </w:rPr>
        <w:t>Siu</w:t>
      </w:r>
      <w:proofErr w:type="spellEnd"/>
      <w:r w:rsidRPr="009B0E41">
        <w:rPr>
          <w:b/>
        </w:rPr>
        <w:t xml:space="preserve"> Hi Lam, </w:t>
      </w:r>
      <w:proofErr w:type="spellStart"/>
      <w:r w:rsidRPr="009B0E41">
        <w:rPr>
          <w:b/>
        </w:rPr>
        <w:t>Alick</w:t>
      </w:r>
      <w:proofErr w:type="spellEnd"/>
    </w:p>
    <w:p w:rsidR="009B0E41" w:rsidRDefault="009434BF" w:rsidP="00CB13F3">
      <w:pPr>
        <w:jc w:val="both"/>
        <w:rPr>
          <w:lang w:eastAsia="zh-HK"/>
        </w:rPr>
      </w:pPr>
      <w:r>
        <w:t>Ind</w:t>
      </w:r>
      <w:r w:rsidR="004F7EFE">
        <w:t>ependent Non-executive Director</w:t>
      </w:r>
    </w:p>
    <w:p w:rsidR="009B0E41" w:rsidRDefault="009B0E41" w:rsidP="00CB13F3">
      <w:pPr>
        <w:jc w:val="both"/>
        <w:rPr>
          <w:lang w:eastAsia="zh-HK"/>
        </w:rPr>
      </w:pPr>
    </w:p>
    <w:p w:rsidR="009B0E41" w:rsidRPr="009B0E41" w:rsidRDefault="009B0E41" w:rsidP="009B0E41">
      <w:pPr>
        <w:spacing w:line="288" w:lineRule="auto"/>
        <w:rPr>
          <w:b/>
        </w:rPr>
      </w:pPr>
      <w:r w:rsidRPr="009B0E41">
        <w:rPr>
          <w:b/>
        </w:rPr>
        <w:t xml:space="preserve">Man Kong </w:t>
      </w:r>
      <w:proofErr w:type="spellStart"/>
      <w:r w:rsidRPr="009B0E41">
        <w:rPr>
          <w:b/>
        </w:rPr>
        <w:t>Yui</w:t>
      </w:r>
      <w:proofErr w:type="spellEnd"/>
    </w:p>
    <w:p w:rsidR="009434BF" w:rsidRDefault="009434BF" w:rsidP="009B0E41">
      <w:pPr>
        <w:jc w:val="both"/>
        <w:rPr>
          <w:b/>
          <w:lang w:eastAsia="zh-HK"/>
        </w:rPr>
      </w:pPr>
      <w:r>
        <w:t>Ind</w:t>
      </w:r>
      <w:r w:rsidR="004F7EFE">
        <w:t>ependent Non-executive Director</w:t>
      </w:r>
    </w:p>
    <w:p w:rsidR="009434BF" w:rsidRDefault="009434BF" w:rsidP="009B0E41">
      <w:pPr>
        <w:jc w:val="both"/>
        <w:rPr>
          <w:b/>
          <w:lang w:eastAsia="zh-HK"/>
        </w:rPr>
      </w:pPr>
    </w:p>
    <w:p w:rsidR="009B0E41" w:rsidRDefault="009B0E41" w:rsidP="009B0E41">
      <w:pPr>
        <w:jc w:val="both"/>
        <w:rPr>
          <w:b/>
          <w:lang w:eastAsia="zh-HK"/>
        </w:rPr>
      </w:pPr>
      <w:r w:rsidRPr="009B0E41">
        <w:rPr>
          <w:b/>
        </w:rPr>
        <w:t xml:space="preserve">Sun Ka </w:t>
      </w:r>
      <w:proofErr w:type="spellStart"/>
      <w:r w:rsidRPr="009B0E41">
        <w:rPr>
          <w:b/>
        </w:rPr>
        <w:t>Ziang</w:t>
      </w:r>
      <w:proofErr w:type="spellEnd"/>
      <w:r w:rsidRPr="009B0E41">
        <w:rPr>
          <w:b/>
        </w:rPr>
        <w:t>, Henry</w:t>
      </w:r>
    </w:p>
    <w:p w:rsidR="009B0E41" w:rsidRDefault="009434BF" w:rsidP="009B0E41">
      <w:pPr>
        <w:jc w:val="both"/>
        <w:rPr>
          <w:lang w:eastAsia="zh-HK"/>
        </w:rPr>
      </w:pPr>
      <w:r>
        <w:t>Ind</w:t>
      </w:r>
      <w:r w:rsidR="004F7EFE">
        <w:t>ependent Non-executive Director</w:t>
      </w:r>
    </w:p>
    <w:p w:rsidR="009434BF" w:rsidRPr="009434BF" w:rsidRDefault="009434BF" w:rsidP="009B0E41">
      <w:pPr>
        <w:jc w:val="both"/>
        <w:rPr>
          <w:b/>
          <w:lang w:eastAsia="zh-HK"/>
        </w:rPr>
      </w:pPr>
    </w:p>
    <w:p w:rsidR="009B0E41" w:rsidRDefault="001B464D" w:rsidP="009B0E41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Audit</w:t>
      </w:r>
      <w:r w:rsidR="009B0E41">
        <w:rPr>
          <w:rFonts w:hint="eastAsia"/>
          <w:b/>
          <w:lang w:eastAsia="zh-HK"/>
        </w:rPr>
        <w:t xml:space="preserve"> Committee</w:t>
      </w:r>
    </w:p>
    <w:p w:rsidR="009434BF" w:rsidRPr="009434BF" w:rsidRDefault="009434BF" w:rsidP="009434BF">
      <w:pPr>
        <w:spacing w:line="288" w:lineRule="auto"/>
      </w:pPr>
      <w:proofErr w:type="spellStart"/>
      <w:r w:rsidRPr="009434BF">
        <w:lastRenderedPageBreak/>
        <w:t>Siu</w:t>
      </w:r>
      <w:proofErr w:type="spellEnd"/>
      <w:r w:rsidRPr="009434BF">
        <w:t xml:space="preserve"> Hi Lam, </w:t>
      </w:r>
      <w:proofErr w:type="spellStart"/>
      <w:r w:rsidRPr="009434BF">
        <w:t>Alick</w:t>
      </w:r>
      <w:proofErr w:type="spellEnd"/>
    </w:p>
    <w:p w:rsidR="009434BF" w:rsidRPr="009434BF" w:rsidRDefault="009434BF" w:rsidP="009434BF">
      <w:pPr>
        <w:spacing w:line="288" w:lineRule="auto"/>
      </w:pPr>
      <w:r w:rsidRPr="009434BF">
        <w:t xml:space="preserve">Man Kong </w:t>
      </w:r>
      <w:proofErr w:type="spellStart"/>
      <w:r w:rsidRPr="009434BF">
        <w:t>Yui</w:t>
      </w:r>
      <w:proofErr w:type="spellEnd"/>
    </w:p>
    <w:p w:rsidR="009434BF" w:rsidRPr="009434BF" w:rsidRDefault="009434BF" w:rsidP="009434BF">
      <w:pPr>
        <w:jc w:val="both"/>
        <w:rPr>
          <w:lang w:eastAsia="zh-HK"/>
        </w:rPr>
      </w:pPr>
      <w:r w:rsidRPr="009434BF">
        <w:t xml:space="preserve">Sun Ka </w:t>
      </w:r>
      <w:proofErr w:type="spellStart"/>
      <w:r w:rsidRPr="009434BF">
        <w:t>Ziang</w:t>
      </w:r>
      <w:proofErr w:type="spellEnd"/>
      <w:r w:rsidRPr="009434BF">
        <w:t>, Henry</w:t>
      </w:r>
    </w:p>
    <w:p w:rsidR="009B0E41" w:rsidRPr="009434BF" w:rsidRDefault="009B0E41" w:rsidP="009B0E41">
      <w:pPr>
        <w:jc w:val="both"/>
        <w:rPr>
          <w:b/>
          <w:lang w:eastAsia="zh-HK"/>
        </w:rPr>
      </w:pPr>
    </w:p>
    <w:p w:rsidR="009B0E41" w:rsidRPr="009B0E41" w:rsidRDefault="009B0E41" w:rsidP="009B0E41">
      <w:pPr>
        <w:jc w:val="both"/>
        <w:rPr>
          <w:b/>
          <w:lang w:eastAsia="zh-HK"/>
        </w:rPr>
      </w:pPr>
      <w:r w:rsidRPr="009B0E41">
        <w:rPr>
          <w:b/>
          <w:lang w:eastAsia="zh-HK"/>
        </w:rPr>
        <w:t>Nomination Committee</w:t>
      </w:r>
    </w:p>
    <w:p w:rsidR="009434BF" w:rsidRPr="009434BF" w:rsidRDefault="009434BF" w:rsidP="009434BF">
      <w:pPr>
        <w:spacing w:line="288" w:lineRule="auto"/>
      </w:pPr>
      <w:proofErr w:type="spellStart"/>
      <w:r w:rsidRPr="009434BF">
        <w:t>Siu</w:t>
      </w:r>
      <w:proofErr w:type="spellEnd"/>
      <w:r w:rsidRPr="009434BF">
        <w:t xml:space="preserve"> Hi Lam, </w:t>
      </w:r>
      <w:proofErr w:type="spellStart"/>
      <w:r w:rsidRPr="009434BF">
        <w:t>Alick</w:t>
      </w:r>
      <w:proofErr w:type="spellEnd"/>
    </w:p>
    <w:p w:rsidR="009434BF" w:rsidRPr="009434BF" w:rsidRDefault="009434BF" w:rsidP="009434BF">
      <w:pPr>
        <w:spacing w:line="288" w:lineRule="auto"/>
      </w:pPr>
      <w:r w:rsidRPr="009434BF">
        <w:t xml:space="preserve">Man Kong </w:t>
      </w:r>
      <w:proofErr w:type="spellStart"/>
      <w:r w:rsidRPr="009434BF">
        <w:t>Yui</w:t>
      </w:r>
      <w:proofErr w:type="spellEnd"/>
    </w:p>
    <w:p w:rsidR="009434BF" w:rsidRPr="009434BF" w:rsidRDefault="009434BF" w:rsidP="009434BF">
      <w:pPr>
        <w:jc w:val="both"/>
        <w:rPr>
          <w:lang w:eastAsia="zh-HK"/>
        </w:rPr>
      </w:pPr>
      <w:r w:rsidRPr="009434BF">
        <w:t xml:space="preserve">Sun Ka </w:t>
      </w:r>
      <w:proofErr w:type="spellStart"/>
      <w:r w:rsidRPr="009434BF">
        <w:t>Ziang</w:t>
      </w:r>
      <w:proofErr w:type="spellEnd"/>
      <w:r w:rsidRPr="009434BF">
        <w:t>, Henry</w:t>
      </w:r>
    </w:p>
    <w:p w:rsidR="009B0E41" w:rsidRPr="009434BF" w:rsidRDefault="009B0E41" w:rsidP="009B0E41">
      <w:pPr>
        <w:jc w:val="both"/>
        <w:rPr>
          <w:b/>
          <w:lang w:eastAsia="zh-HK"/>
        </w:rPr>
      </w:pPr>
    </w:p>
    <w:p w:rsidR="009B0E41" w:rsidRDefault="009B0E41" w:rsidP="009B0E41">
      <w:pPr>
        <w:jc w:val="both"/>
        <w:rPr>
          <w:b/>
          <w:lang w:eastAsia="zh-HK"/>
        </w:rPr>
      </w:pPr>
      <w:r w:rsidRPr="009B0E41">
        <w:rPr>
          <w:b/>
          <w:lang w:eastAsia="zh-HK"/>
        </w:rPr>
        <w:t>Remuneration Committee</w:t>
      </w:r>
    </w:p>
    <w:p w:rsidR="009434BF" w:rsidRPr="009434BF" w:rsidRDefault="009434BF" w:rsidP="009434BF">
      <w:pPr>
        <w:spacing w:line="288" w:lineRule="auto"/>
      </w:pPr>
      <w:proofErr w:type="spellStart"/>
      <w:r w:rsidRPr="009434BF">
        <w:t>Siu</w:t>
      </w:r>
      <w:proofErr w:type="spellEnd"/>
      <w:r w:rsidRPr="009434BF">
        <w:t xml:space="preserve"> Hi Lam, </w:t>
      </w:r>
      <w:proofErr w:type="spellStart"/>
      <w:r w:rsidRPr="009434BF">
        <w:t>Alick</w:t>
      </w:r>
      <w:proofErr w:type="spellEnd"/>
    </w:p>
    <w:p w:rsidR="009434BF" w:rsidRPr="009434BF" w:rsidRDefault="009434BF" w:rsidP="009434BF">
      <w:pPr>
        <w:spacing w:line="288" w:lineRule="auto"/>
      </w:pPr>
      <w:r w:rsidRPr="009434BF">
        <w:t xml:space="preserve">Man Kong </w:t>
      </w:r>
      <w:proofErr w:type="spellStart"/>
      <w:r w:rsidRPr="009434BF">
        <w:t>Yui</w:t>
      </w:r>
      <w:proofErr w:type="spellEnd"/>
    </w:p>
    <w:p w:rsidR="009434BF" w:rsidRPr="009434BF" w:rsidRDefault="009434BF" w:rsidP="009434BF">
      <w:pPr>
        <w:jc w:val="both"/>
        <w:rPr>
          <w:lang w:eastAsia="zh-HK"/>
        </w:rPr>
      </w:pPr>
      <w:r w:rsidRPr="009434BF">
        <w:t xml:space="preserve">Sun Ka </w:t>
      </w:r>
      <w:proofErr w:type="spellStart"/>
      <w:r w:rsidRPr="009434BF">
        <w:t>Ziang</w:t>
      </w:r>
      <w:proofErr w:type="spellEnd"/>
      <w:r w:rsidRPr="009434BF">
        <w:t>, Henry</w:t>
      </w:r>
    </w:p>
    <w:p w:rsidR="009434BF" w:rsidRDefault="009434BF" w:rsidP="009B0E41">
      <w:pPr>
        <w:jc w:val="both"/>
        <w:rPr>
          <w:b/>
          <w:lang w:eastAsia="zh-HK"/>
        </w:rPr>
      </w:pPr>
    </w:p>
    <w:p w:rsidR="009434BF" w:rsidRDefault="009434BF" w:rsidP="009B0E41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Financial Highlights</w:t>
      </w:r>
    </w:p>
    <w:p w:rsidR="009434BF" w:rsidRDefault="009434BF" w:rsidP="009B0E41">
      <w:pPr>
        <w:jc w:val="both"/>
        <w:rPr>
          <w:b/>
          <w:lang w:eastAsia="zh-HK"/>
        </w:rPr>
      </w:pPr>
    </w:p>
    <w:p w:rsidR="009434BF" w:rsidRDefault="009434BF" w:rsidP="009B0E41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Investors Information</w:t>
      </w:r>
    </w:p>
    <w:p w:rsidR="009434BF" w:rsidRDefault="009434BF" w:rsidP="009B0E41">
      <w:pPr>
        <w:jc w:val="both"/>
        <w:rPr>
          <w:b/>
          <w:lang w:eastAsia="zh-HK"/>
        </w:rPr>
      </w:pPr>
    </w:p>
    <w:p w:rsidR="009434BF" w:rsidRDefault="00DC128C" w:rsidP="009B0E41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IR Contact</w:t>
      </w:r>
    </w:p>
    <w:p w:rsidR="00DC128C" w:rsidRDefault="00DC128C" w:rsidP="00DC128C">
      <w:pPr>
        <w:pStyle w:val="2"/>
        <w:shd w:val="clear" w:color="auto" w:fill="FFFFFF"/>
        <w:spacing w:line="384" w:lineRule="atLeast"/>
        <w:rPr>
          <w:rFonts w:ascii="Arial" w:hAnsi="Arial" w:cs="Arial"/>
        </w:rPr>
      </w:pPr>
      <w:r>
        <w:rPr>
          <w:rFonts w:ascii="Arial" w:hAnsi="Arial" w:cs="Arial"/>
        </w:rPr>
        <w:t>For Investor Relations</w:t>
      </w:r>
    </w:p>
    <w:p w:rsidR="00DC128C" w:rsidRDefault="00DC128C" w:rsidP="00DC128C">
      <w:pPr>
        <w:jc w:val="both"/>
        <w:rPr>
          <w:b/>
          <w:lang w:eastAsia="zh-HK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Tel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(852) 2526 7738 </w:t>
      </w:r>
      <w:r>
        <w:rPr>
          <w:rFonts w:ascii="Arial" w:hAnsi="Arial" w:cs="Arial"/>
          <w:color w:val="000000"/>
          <w:sz w:val="20"/>
          <w:szCs w:val="20"/>
        </w:rPr>
        <w:br/>
        <w:t xml:space="preserve">Email : </w:t>
      </w:r>
      <w:hyperlink r:id="rId10" w:history="1">
        <w:r>
          <w:rPr>
            <w:rStyle w:val="a4"/>
            <w:rFonts w:ascii="Arial" w:hAnsi="Arial" w:cs="Arial"/>
            <w:sz w:val="20"/>
            <w:szCs w:val="20"/>
          </w:rPr>
          <w:t>investor@getnice.com.hk</w:t>
        </w:r>
      </w:hyperlink>
    </w:p>
    <w:p w:rsidR="00DC128C" w:rsidRDefault="00DC128C" w:rsidP="009B0E41">
      <w:pPr>
        <w:jc w:val="both"/>
        <w:rPr>
          <w:b/>
          <w:lang w:eastAsia="zh-HK"/>
        </w:rPr>
      </w:pPr>
    </w:p>
    <w:p w:rsidR="00DC128C" w:rsidRDefault="00DC128C" w:rsidP="009B0E41">
      <w:pPr>
        <w:jc w:val="both"/>
        <w:rPr>
          <w:b/>
          <w:lang w:eastAsia="zh-HK"/>
        </w:rPr>
      </w:pPr>
    </w:p>
    <w:p w:rsidR="00893BDC" w:rsidRDefault="00893BDC">
      <w:pPr>
        <w:widowControl/>
        <w:rPr>
          <w:b/>
          <w:lang w:eastAsia="zh-HK"/>
        </w:rPr>
      </w:pPr>
    </w:p>
    <w:p w:rsidR="00DC128C" w:rsidRDefault="00DC128C" w:rsidP="009B0E41">
      <w:pPr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>Contact US</w:t>
      </w:r>
    </w:p>
    <w:p w:rsidR="00DC128C" w:rsidRDefault="00DC128C" w:rsidP="009B0E41">
      <w:pPr>
        <w:jc w:val="both"/>
        <w:rPr>
          <w:b/>
          <w:lang w:eastAsia="zh-HK"/>
        </w:rPr>
      </w:pPr>
    </w:p>
    <w:p w:rsidR="00DC128C" w:rsidRDefault="00DC128C" w:rsidP="00DC128C">
      <w:pPr>
        <w:pStyle w:val="2"/>
        <w:shd w:val="clear" w:color="auto" w:fill="FFFFFF"/>
        <w:spacing w:line="384" w:lineRule="atLeast"/>
        <w:rPr>
          <w:rFonts w:ascii="Arial" w:hAnsi="Arial" w:cs="Arial"/>
        </w:rPr>
      </w:pPr>
      <w:r>
        <w:rPr>
          <w:rFonts w:ascii="Arial" w:hAnsi="Arial" w:cs="Arial"/>
        </w:rPr>
        <w:t>Head office</w:t>
      </w:r>
    </w:p>
    <w:p w:rsidR="00DC128C" w:rsidRPr="009B0E41" w:rsidRDefault="00DC128C" w:rsidP="00DC128C">
      <w:pPr>
        <w:jc w:val="both"/>
        <w:rPr>
          <w:b/>
          <w:lang w:eastAsia="zh-HK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Address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10/F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Cosco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Tower Grand Millennium Plaza, 183 Queen's Road Central Hong Kong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 : (852) 2970 8000 </w:t>
      </w:r>
      <w:r>
        <w:rPr>
          <w:rFonts w:ascii="Arial" w:hAnsi="Arial" w:cs="Arial"/>
          <w:color w:val="000000"/>
          <w:sz w:val="20"/>
          <w:szCs w:val="20"/>
        </w:rPr>
        <w:br/>
        <w:t>Fax : (852) 2523 3743</w:t>
      </w:r>
      <w:r>
        <w:rPr>
          <w:rFonts w:ascii="Arial" w:hAnsi="Arial" w:cs="Arial"/>
          <w:color w:val="000000"/>
          <w:sz w:val="20"/>
          <w:szCs w:val="20"/>
        </w:rPr>
        <w:br/>
        <w:t xml:space="preserve">Email : </w:t>
      </w:r>
      <w:hyperlink r:id="rId11" w:history="1">
        <w:r>
          <w:rPr>
            <w:rStyle w:val="a4"/>
            <w:rFonts w:ascii="Arial" w:hAnsi="Arial" w:cs="Arial"/>
            <w:sz w:val="20"/>
            <w:szCs w:val="20"/>
          </w:rPr>
          <w:t>info@getnice.com.hk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Email for internet trading : </w:t>
      </w:r>
      <w:hyperlink r:id="rId12" w:history="1">
        <w:r>
          <w:rPr>
            <w:rStyle w:val="a4"/>
            <w:rFonts w:ascii="Arial" w:hAnsi="Arial" w:cs="Arial"/>
            <w:sz w:val="20"/>
            <w:szCs w:val="20"/>
          </w:rPr>
          <w:t>cus@getnice.com.hk</w:t>
        </w:r>
      </w:hyperlink>
    </w:p>
    <w:sectPr w:rsidR="00DC128C" w:rsidRPr="009B0E41" w:rsidSect="00D045D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7C" w:rsidRDefault="00B07A7C" w:rsidP="004F7EFE">
      <w:r>
        <w:separator/>
      </w:r>
    </w:p>
  </w:endnote>
  <w:endnote w:type="continuationSeparator" w:id="0">
    <w:p w:rsidR="00B07A7C" w:rsidRDefault="00B07A7C" w:rsidP="004F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,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7C" w:rsidRDefault="00B07A7C" w:rsidP="004F7EFE">
      <w:r>
        <w:separator/>
      </w:r>
    </w:p>
  </w:footnote>
  <w:footnote w:type="continuationSeparator" w:id="0">
    <w:p w:rsidR="00B07A7C" w:rsidRDefault="00B07A7C" w:rsidP="004F7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5A6"/>
    <w:multiLevelType w:val="multilevel"/>
    <w:tmpl w:val="CF0A4C3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nsid w:val="0E8F458F"/>
    <w:multiLevelType w:val="hybridMultilevel"/>
    <w:tmpl w:val="7E143E98"/>
    <w:lvl w:ilvl="0" w:tplc="B232AA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EE077E"/>
    <w:multiLevelType w:val="multilevel"/>
    <w:tmpl w:val="5A3897C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nsid w:val="22955400"/>
    <w:multiLevelType w:val="multilevel"/>
    <w:tmpl w:val="8D4AF5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236A635B"/>
    <w:multiLevelType w:val="multilevel"/>
    <w:tmpl w:val="E132E5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24545120"/>
    <w:multiLevelType w:val="multilevel"/>
    <w:tmpl w:val="18E46C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nsid w:val="34BF2F63"/>
    <w:multiLevelType w:val="multilevel"/>
    <w:tmpl w:val="5F8E514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453F3433"/>
    <w:multiLevelType w:val="multilevel"/>
    <w:tmpl w:val="99D4C5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nsid w:val="4C8314D2"/>
    <w:multiLevelType w:val="multilevel"/>
    <w:tmpl w:val="C17C35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4F82074B"/>
    <w:multiLevelType w:val="multilevel"/>
    <w:tmpl w:val="DCD44D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>
    <w:nsid w:val="54382CBE"/>
    <w:multiLevelType w:val="multilevel"/>
    <w:tmpl w:val="45BCB5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nsid w:val="563A246B"/>
    <w:multiLevelType w:val="multilevel"/>
    <w:tmpl w:val="ABA43E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>
    <w:nsid w:val="56402A2F"/>
    <w:multiLevelType w:val="multilevel"/>
    <w:tmpl w:val="F86E3F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>
    <w:nsid w:val="5C0F682F"/>
    <w:multiLevelType w:val="multilevel"/>
    <w:tmpl w:val="3462163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>
    <w:nsid w:val="602A678E"/>
    <w:multiLevelType w:val="multilevel"/>
    <w:tmpl w:val="FAEE30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>
    <w:nsid w:val="74D026A2"/>
    <w:multiLevelType w:val="multilevel"/>
    <w:tmpl w:val="822A02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>
    <w:nsid w:val="766C52F8"/>
    <w:multiLevelType w:val="multilevel"/>
    <w:tmpl w:val="70500E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>
    <w:nsid w:val="769E6E80"/>
    <w:multiLevelType w:val="multilevel"/>
    <w:tmpl w:val="D5EA1F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">
    <w:nsid w:val="7D0A4672"/>
    <w:multiLevelType w:val="multilevel"/>
    <w:tmpl w:val="6AC228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6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17"/>
  </w:num>
  <w:num w:numId="16">
    <w:abstractNumId w:val="2"/>
  </w:num>
  <w:num w:numId="17">
    <w:abstractNumId w:val="14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A3C"/>
    <w:rsid w:val="00022C3B"/>
    <w:rsid w:val="00085A3C"/>
    <w:rsid w:val="00086549"/>
    <w:rsid w:val="000A21D9"/>
    <w:rsid w:val="000D74A8"/>
    <w:rsid w:val="00192C83"/>
    <w:rsid w:val="001A2B71"/>
    <w:rsid w:val="001B464D"/>
    <w:rsid w:val="001F7954"/>
    <w:rsid w:val="00230B29"/>
    <w:rsid w:val="002A5597"/>
    <w:rsid w:val="00317360"/>
    <w:rsid w:val="00387A92"/>
    <w:rsid w:val="00403309"/>
    <w:rsid w:val="00441407"/>
    <w:rsid w:val="004E3EEE"/>
    <w:rsid w:val="004F7EFE"/>
    <w:rsid w:val="00501A84"/>
    <w:rsid w:val="00633805"/>
    <w:rsid w:val="00635FDE"/>
    <w:rsid w:val="00693EBD"/>
    <w:rsid w:val="006A4B6A"/>
    <w:rsid w:val="006B1F1D"/>
    <w:rsid w:val="006D480E"/>
    <w:rsid w:val="006D549B"/>
    <w:rsid w:val="006E017E"/>
    <w:rsid w:val="006F28BA"/>
    <w:rsid w:val="00702072"/>
    <w:rsid w:val="007175F8"/>
    <w:rsid w:val="007805BE"/>
    <w:rsid w:val="00781AEC"/>
    <w:rsid w:val="00787185"/>
    <w:rsid w:val="007C3EC1"/>
    <w:rsid w:val="008046D1"/>
    <w:rsid w:val="008137B7"/>
    <w:rsid w:val="00821382"/>
    <w:rsid w:val="00821E10"/>
    <w:rsid w:val="00873EC8"/>
    <w:rsid w:val="00893BDC"/>
    <w:rsid w:val="008B0D6C"/>
    <w:rsid w:val="008E02D6"/>
    <w:rsid w:val="00934CFC"/>
    <w:rsid w:val="009434BF"/>
    <w:rsid w:val="009648F4"/>
    <w:rsid w:val="009660A0"/>
    <w:rsid w:val="00991B41"/>
    <w:rsid w:val="00996E4E"/>
    <w:rsid w:val="009B0E41"/>
    <w:rsid w:val="00A008D0"/>
    <w:rsid w:val="00A159C6"/>
    <w:rsid w:val="00A34A07"/>
    <w:rsid w:val="00A508B8"/>
    <w:rsid w:val="00A54439"/>
    <w:rsid w:val="00A7057E"/>
    <w:rsid w:val="00A84363"/>
    <w:rsid w:val="00AB17CB"/>
    <w:rsid w:val="00B019CA"/>
    <w:rsid w:val="00B07A7C"/>
    <w:rsid w:val="00B47D4B"/>
    <w:rsid w:val="00B54EC2"/>
    <w:rsid w:val="00B6301A"/>
    <w:rsid w:val="00BA3592"/>
    <w:rsid w:val="00BD3085"/>
    <w:rsid w:val="00BF480A"/>
    <w:rsid w:val="00C1200C"/>
    <w:rsid w:val="00C66A83"/>
    <w:rsid w:val="00CB13F3"/>
    <w:rsid w:val="00D045D4"/>
    <w:rsid w:val="00D52BC8"/>
    <w:rsid w:val="00D65718"/>
    <w:rsid w:val="00D81EA4"/>
    <w:rsid w:val="00DA6BF8"/>
    <w:rsid w:val="00DC128C"/>
    <w:rsid w:val="00DE1209"/>
    <w:rsid w:val="00EB64DD"/>
    <w:rsid w:val="00ED021C"/>
    <w:rsid w:val="00F024C7"/>
    <w:rsid w:val="00F07EE8"/>
    <w:rsid w:val="00F14392"/>
    <w:rsid w:val="00F25D98"/>
    <w:rsid w:val="00F37312"/>
    <w:rsid w:val="00F66E49"/>
    <w:rsid w:val="00FD048C"/>
    <w:rsid w:val="00FF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color="white">
      <v:fill color="white"/>
    </o:shapedefaults>
    <o:shapelayout v:ext="edit">
      <o:idmap v:ext="edit" data="1"/>
      <o:rules v:ext="edit">
        <o:r id="V:Rule15" type="connector" idref="#_x0000_s1062"/>
        <o:r id="V:Rule16" type="connector" idref="#_x0000_s1048"/>
        <o:r id="V:Rule17" type="connector" idref="#_x0000_s1029"/>
        <o:r id="V:Rule18" type="connector" idref="#_x0000_s1058"/>
        <o:r id="V:Rule19" type="connector" idref="#_x0000_s1050"/>
        <o:r id="V:Rule20" type="connector" idref="#_x0000_s1028"/>
        <o:r id="V:Rule21" type="connector" idref="#_x0000_s1060"/>
        <o:r id="V:Rule22" type="connector" idref="#_x0000_s1038"/>
        <o:r id="V:Rule23" type="connector" idref="#_x0000_s1061"/>
        <o:r id="V:Rule24" type="connector" idref="#_x0000_s1031"/>
        <o:r id="V:Rule25" type="connector" idref="#_x0000_s1027"/>
        <o:r id="V:Rule26" type="connector" idref="#_x0000_s1054"/>
        <o:r id="V:Rule27" type="connector" idref="#_x0000_s1039"/>
        <o:r id="V:Rule2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3B"/>
    <w:pPr>
      <w:widowControl w:val="0"/>
    </w:pPr>
  </w:style>
  <w:style w:type="paragraph" w:styleId="2">
    <w:name w:val="heading 2"/>
    <w:basedOn w:val="a"/>
    <w:link w:val="20"/>
    <w:uiPriority w:val="9"/>
    <w:qFormat/>
    <w:rsid w:val="00DC128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49170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693E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</w:rPr>
  </w:style>
  <w:style w:type="paragraph" w:styleId="a3">
    <w:name w:val="List Paragraph"/>
    <w:basedOn w:val="a"/>
    <w:uiPriority w:val="34"/>
    <w:qFormat/>
    <w:rsid w:val="00693EBD"/>
    <w:pPr>
      <w:widowControl/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Times New Roman" w:eastAsia="Arial Unicode MS" w:hAnsi="Times New Roman" w:cs="Times New Roman"/>
      <w:kern w:val="0"/>
      <w:szCs w:val="24"/>
      <w:bdr w:val="nil"/>
      <w:lang w:eastAsia="en-US"/>
    </w:rPr>
  </w:style>
  <w:style w:type="character" w:styleId="a4">
    <w:name w:val="Hyperlink"/>
    <w:basedOn w:val="a0"/>
    <w:uiPriority w:val="99"/>
    <w:unhideWhenUsed/>
    <w:rsid w:val="00996E4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43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DC128C"/>
    <w:rPr>
      <w:rFonts w:ascii="新細明體" w:eastAsia="新細明體" w:hAnsi="新細明體" w:cs="新細明體"/>
      <w:b/>
      <w:bCs/>
      <w:color w:val="491703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F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F7EF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F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F7E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119">
                  <w:marLeft w:val="0"/>
                  <w:marRight w:val="0"/>
                  <w:marTop w:val="0"/>
                  <w:marBottom w:val="324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535">
                      <w:marLeft w:val="331"/>
                      <w:marRight w:val="364"/>
                      <w:marTop w:val="3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153">
                  <w:marLeft w:val="0"/>
                  <w:marRight w:val="0"/>
                  <w:marTop w:val="0"/>
                  <w:marBottom w:val="324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675">
                      <w:marLeft w:val="331"/>
                      <w:marRight w:val="364"/>
                      <w:marTop w:val="3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-finance.com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s@getnice.com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etnice.com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vestor@getnice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nicefg.com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CE48-0D93-4EE2-BF88-4B10DDF3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9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Lenovo's User</dc:creator>
  <cp:lastModifiedBy>kennytam</cp:lastModifiedBy>
  <cp:revision>17</cp:revision>
  <cp:lastPrinted>2016-03-09T07:35:00Z</cp:lastPrinted>
  <dcterms:created xsi:type="dcterms:W3CDTF">2015-11-06T03:35:00Z</dcterms:created>
  <dcterms:modified xsi:type="dcterms:W3CDTF">2016-03-09T07:35:00Z</dcterms:modified>
</cp:coreProperties>
</file>